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136 StVollzG — Unterbringung in einem psychiatrischen Krankenhaus</w:t>
      </w:r>
    </w:p>
    <w:p>
      <w:r>
        <w:rPr>
          <w:color w:val="555555"/>
          <w:sz w:val="18"/>
        </w:rPr>
        <w:t xml:space="preserve">Strafvollzugsgesetz</w:t>
      </w:r>
    </w:p>
    <w:p>
      <w:r>
        <w:rPr>
          <w:color w:val="555555"/>
          <w:sz w:val="18"/>
        </w:rPr>
        <w:t xml:space="preserve">Stand: 10.06.2019 (konsolidierte Textfassung, kein amtliches Inkrafttretensdatum)</w:t>
      </w:r>
    </w:p>
    <w:p>
      <w:r>
        <w:t xml:space="preserve">Die Behandlung des Untergebrachten in einem psychiatrischen Krankenhaus richtet sich nach ärztlichen Gesichtspunkten. Soweit möglich, soll er geheilt oder sein Zustand so weit gebessert werden, daß er nicht mehr gefährlich ist. Ihm wird die nötige Aufsicht, Betreuung und Pflege zuteil.</w:t>
      </w:r>
    </w:p>
    <w:p>
      <w:r>
        <w:rPr>
          <w:color w:val="555555"/>
          <w:sz w:val="17"/>
        </w:rPr>
        <w:t xml:space="preserve">Zitiervorschlag: § 136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https://recht.nulegal.eu/gesetze/StVollzG/136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