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 StVollzG — Anwendung anderer Vorschriften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10.12.2019 (konsolidierte Textfassung, kein amtliches Inkrafttretensdatum)</w:t>
      </w:r>
    </w:p>
    <w:p>
      <w:r>
        <w:t xml:space="preserve">Für die Sicherungsverwahrung gelten die Vorschriften über den Vollzug der Freiheitsstrafe (§§ 3 bis 119 sowie 120 bis 126) entsprechend, soweit im folgenden nichts anderes bestimmt ist.</w:t>
      </w:r>
    </w:p>
    <w:p>
      <w:r>
        <w:rPr>
          <w:color w:val="555555"/>
          <w:sz w:val="17"/>
        </w:rPr>
        <w:t xml:space="preserve">Zitiervorschlag: § 130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https://recht.nulegal.eu/gesetze/StVollzG/130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