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121b StVollzG — Gerichtliches Verfahren bei dem Richtervorbehalt unterliegenden Maßnahmen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Das gerichtliche Verfahren im Sinne des § 121a richtet sich nach dem Gesetz über das Verfahren in Familiensachen und in den Angelegenheiten der freiwilligen Gerichtsbarkeit. Die für Unterbringungssachen nach § 312 Nummer 4 des Gesetzes über das Verfahren in Familiensachen und in den Angelegenheiten der freiwilligen Gerichtsbarkeit anzuwendenden Bestimmungen gelten entsprechend. Über die Beschwerde entscheidet das Landgericht, über die Rechtsbeschwerde der Bundesgerichtshof.</w:t>
      </w:r>
    </w:p>
    <w:p>
      <w:r>
        <w:t xml:space="preserve">(2) Für das Verfahren werden keine Kosten erhoben.</w:t>
      </w:r>
    </w:p>
    <w:p>
      <w:r>
        <w:rPr>
          <w:color w:val="555555"/>
          <w:sz w:val="17"/>
        </w:rPr>
        <w:t xml:space="preserve">Zitiervorschlag: § 121b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https://recht.nulegal.eu/gesetze/StVollzG/121b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121b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