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121 StVollzG — Kosten des Verfahrens</w:t>
      </w:r>
    </w:p>
    <w:p>
      <w:r>
        <w:rPr>
          <w:color w:val="555555"/>
          <w:sz w:val="18"/>
        </w:rPr>
        <w:t xml:space="preserve">Strafvollzugsgesetz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der das Verfahren abschließenden Entscheidung ist zu bestimmen, von wem die Kosten des Verfahrens und die notwendigen Auslagen zu tragen sind.</w:t>
      </w:r>
    </w:p>
    <w:p>
      <w:r>
        <w:t xml:space="preserve">(2) Soweit der Antragsteller unterliegt oder seinen Antrag zurücknimmt, trägt er die Kosten des Verfahrens und die notwendigen Auslagen. Hat sich die Maßnahme vor einer Entscheidung nach Absatz 1 in anderer Weise als durch Zurücknahme des Antrags erledigt, so entscheidet das Gericht über die Kosten des Verfahrens und die notwendigen Auslagen nach billigem Ermessen.</w:t>
      </w:r>
    </w:p>
    <w:p>
      <w:r>
        <w:t xml:space="preserve">(3) Bei erstinstanzlichen Entscheidungen des Gerichts nach § 119a fallen die Kosten des Verfahrens und die notwendigen Auslagen der Staatskasse zur Last. Absatz 2 Satz 2 gilt nicht im Falle des § 115 Abs. 3.</w:t>
      </w:r>
    </w:p>
    <w:p>
      <w:r>
        <w:t xml:space="preserve">(4) Im übrigen gelten die §§ 464 bis 473 der Strafprozeßordnung entsprechend.</w:t>
      </w:r>
    </w:p>
    <w:p>
      <w:r>
        <w:t xml:space="preserve">(5) Für die Kosten des Verfahrens nach den §§ 109ff. kann auch ein den dreifachen Tagessatz der Eckvergütung nach § 43 Abs. 2 übersteigender Teil des Hausgeldes (§ 47) in Anspruch genommen werden.</w:t>
      </w:r>
    </w:p>
    <w:p>
      <w:r>
        <w:rPr>
          <w:color w:val="555555"/>
          <w:sz w:val="17"/>
        </w:rPr>
        <w:t xml:space="preserve">Zitiervorschlag: § 121 StVollzG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https://recht.nulegal.eu/gesetze/StVollzG/121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