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116 StVollzG — Rechtsbeschwerde</w:t>
      </w:r>
    </w:p>
    <w:p>
      <w:r>
        <w:rPr>
          <w:color w:val="555555"/>
          <w:sz w:val="18"/>
        </w:rPr>
        <w:t xml:space="preserve">Strafvollzugsgesetz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Gegen die gerichtliche Entscheidung der Strafvollstreckungskammer ist die Rechtsbeschwerde zulässig, wenn es geboten ist, die Nachprüfung zur Fortbildung des Rechts oder zur Sicherung einer einheitlichen Rechtsprechung zu ermöglichen.</w:t>
      </w:r>
    </w:p>
    <w:p>
      <w:r>
        <w:t xml:space="preserve">(2) Die Rechtsbeschwerde kann nur darauf gestützt werden, daß die Entscheidung auf einer Verletzung des Gesetzes beruhe. Das Gesetz ist verletzt, wenn eine Rechtsnorm nicht oder nicht richtig angewendet worden ist.</w:t>
      </w:r>
    </w:p>
    <w:p>
      <w:r>
        <w:t xml:space="preserve">(3) Die Rechtsbeschwerde hat keine aufschiebende Wirkung. § 114 Abs. 2 gilt entsprechend.</w:t>
      </w:r>
    </w:p>
    <w:p>
      <w:r>
        <w:t xml:space="preserve">(4) Für die Rechtsbeschwerde gelten die Vorschriften der Strafprozeßordnung über die Beschwerde entsprechend, soweit dieses Gesetz nichts anderes bestimmt.</w:t>
      </w:r>
    </w:p>
    <w:p>
      <w:r>
        <w:rPr>
          <w:color w:val="555555"/>
          <w:sz w:val="17"/>
        </w:rPr>
        <w:t xml:space="preserve">Zitiervorschlag: § 116 StVollzG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https://recht.nulegal.eu/gesetze/StVollzG/116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