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110a StVollzG — Elektronische Aktenführung; Verordnungsermächtigungen</w:t>
      </w:r>
    </w:p>
    <w:p>
      <w:r>
        <w:rPr>
          <w:color w:val="555555"/>
          <w:sz w:val="18"/>
        </w:rPr>
        <w:t xml:space="preserve">Strafvollzugsgesetz</w:t>
      </w:r>
    </w:p>
    <w:p>
      <w:r>
        <w:rPr>
          <w:color w:val="555555"/>
          <w:sz w:val="18"/>
        </w:rPr>
        <w:t xml:space="preserve">Stand: 14.03.2026 (konsolidierte Textfassung, kein amtliches Inkrafttretensdatum)</w:t>
      </w:r>
    </w:p>
    <w:p>
      <w:r>
        <w:t xml:space="preserve">(1) Die Gerichtsakten werden elektronisch geführt. Akten, die in Papierform angelegt wurden, können in Papierform weitergeführt werden. Sie können auch ab einem bestimmten Stichtag oder Ereignis in elektronischer Form weitergeführt werden. Der Beginn der Weiterführung der Akten in elektronischer Form ist aktenkundig zu machen.</w:t>
      </w:r>
    </w:p>
    <w:p>
      <w:r>
        <w:t xml:space="preserve">(1a) Die Landesregierungen können jeweils für ihren Bereich durch Rechtsverordnung bestimmen, dass Akten abweichend von Absatz 1 Satz 1 und 2 bis einschließlich 31. Dezember 2026 in Papierform angelegt sowie von anderer Stelle bis einschließlich 31. Dezember 2026 übermittelte elektronische Akten in Papierform geführt oder weitergeführt werden. Die Bestimmung kann auf einzelne Gerichte oder allgemein bestimmte Verfahren beschränkt werden; wird von dieser Möglichkeit Gebrauch gemacht, so kann in der Rechtsverordnung bestimmt werden, dass durch Verwaltungsvorschrift, die öffentlich bekanntzumachen ist, geregelt wird, in welchen Verfahren Akten in Papierform angelegt oder elektronisch übermittelte Akten in Papierform geführt oder weitergeführt werden. Die Landesregierungen können die in Satz 1 genannte Ermächtigung durch Rechtsverordnung auf die zuständigen Landesministerien übertragen.</w:t>
      </w:r>
    </w:p>
    <w:p>
      <w:r>
        <w:t xml:space="preserve">(1b) Dokumente und Aktenteile, die nach den Verschlusssachenanweisungen des Bundes oder der Länder als Verschlusssache höher als VS-NUR FÜR DEN DIENSTGEBRAUCH eingestuft sind, dürfen bis zum 31. Dezember 2035 in Papierform erstellt, geführt und übermittelt werden. Dokumente und Aktenteile, die nach den Verschlusssachenanweisungen des Bundes oder der Länder als Verschlusssache VS-NUR FÜR DEN DIENSTGEBRAUCH eingestuft sind, dürfen bis zum 31. Dezember 2035 in Papierform übermittelt werden. Die für die Handhabung von Verschlusssachen geltenden Geheimschutzvorschriften bleiben unberührt.</w:t>
      </w:r>
    </w:p>
    <w:p>
      <w:r>
        <w:t xml:space="preserve">(2) Die Landesregierungen bestimmen durch Rechtsverordnung die für die elektronische Aktenführung geltenden organisatorischen und dem Stand der Technik entsprechenden technischen Rahmenbedingungen einschließlich der einzuhaltenden Anforderungen des Datenschutzes, der Datensicherheit und der Barrierefreiheit. Sie können die Ermächtigung durch Rechtsverordnung auf die zuständigen Landesministerien übertragen.</w:t>
      </w:r>
    </w:p>
    <w:p>
      <w:r>
        <w:t xml:space="preserve">(3) Die Bundesregierung bestimmt durch Rechtsverordnung mit Zustimmung des Bundesrates die für die Übermittlung elektronischer Akten zwischen Behörden und Gerichten geltenden Standards. Sie kann die Ermächtigung durch Rechtsverordnung ohne Zustimmung des Bundesrates auf die zuständigen Bundesministerien übertragen.</w:t>
      </w:r>
    </w:p>
    <w:p>
      <w:r>
        <w:rPr>
          <w:color w:val="555555"/>
          <w:sz w:val="17"/>
        </w:rPr>
        <w:t xml:space="preserve">Zitiervorschlag: § 110a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https://recht.nulegal.eu/gesetze/StVollzG/110a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110a StVollzG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