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StVollzG — Lockerungen des Vollzuges</w:t>
      </w:r>
    </w:p>
    <w:p>
      <w:r>
        <w:rPr>
          <w:color w:val="555555"/>
          <w:sz w:val="18"/>
        </w:rPr>
        <w:t xml:space="preserve">Strafvollzugsgesetz</w:t>
      </w:r>
    </w:p>
    <w:p>
      <w:r>
        <w:rPr>
          <w:color w:val="555555"/>
          <w:sz w:val="18"/>
        </w:rPr>
        <w:t xml:space="preserve">Stand: 10.06.2019 (konsolidierte Textfassung, kein amtliches Inkrafttretensdatum)</w:t>
      </w:r>
    </w:p>
    <w:p>
      <w:r>
        <w:t xml:space="preserve">(1) Als Lockerung des Vollzuges kann namentlich angeordnet werden, daß der Gefangene</w:t>
      </w:r>
    </w:p>
    <w:p>
      <w:pPr>
        <w:ind w:left="420"/>
      </w:pPr>
      <w:r>
        <w:t xml:space="preserve">1. außerhalb der Anstalt regelmäßig einer Beschäftigung unter Aufsicht (Außenbeschäftigung) oder ohne Aufsicht eines Vollzugsbediensteten (Freigang) nachgehen darf oder</w:t>
      </w:r>
    </w:p>
    <w:p>
      <w:pPr>
        <w:ind w:left="420"/>
      </w:pPr>
      <w:r>
        <w:t xml:space="preserve">2. für eine bestimmte Tageszeit die Anstalt unter Aufsicht (Ausführung) oder ohne Aufsicht eines Vollzugsbediensteten (Ausgang) verlassen darf.</w:t>
      </w:r>
    </w:p>
    <w:p>
      <w:r>
        <w:t xml:space="preserve">(2) Diese Lockerungen dürfen mit Zustimmung des Gefangenen angeordnet werden, wenn nicht zu befürchten ist, daß der Gefangene sich dem Vollzug der Freiheitsstrafe entziehen oder die Lockerungen des Vollzuges zu Straftaten mißbrauchen werde.</w:t>
      </w:r>
    </w:p>
    <w:p>
      <w:r>
        <w:rPr>
          <w:color w:val="555555"/>
          <w:sz w:val="17"/>
        </w:rPr>
        <w:t xml:space="preserve">Zitiervorschlag: § 11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StVollzG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