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84 StVollzG NRW (Nordrhein-Westfalen) — Beschwerderecht</w:t>
      </w:r>
    </w:p>
    <w:p>
      <w:r>
        <w:rPr>
          <w:color w:val="555555"/>
          <w:sz w:val="18"/>
        </w:rPr>
        <w:t xml:space="preserve">Strafvollzugsgesetz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Gefangenen erhalten Gelegenheit, sich mit Wünschen, Anregungen und Beschwerden in Angelegenheiten, die sie selbst betreffen, an die Anstaltsleitung oder die von ihr beauftragten Personen zu wenden. Die Möglichkeit, sich an die Justizvollzugsbeauftragte oder den Justizvollzugsbeauftragten des Landes Nordrhein-Westfalen zu wenden, bleibt unberührt.</w:t>
      </w:r>
    </w:p>
    <w:p>
      <w:r>
        <w:t xml:space="preserve">Abschnitt 16</w:t>
      </w:r>
    </w:p>
    <w:p>
      <w:r>
        <w:t xml:space="preserve">Besondere Vorschriften für den Frauenstrafvollzug</w:t>
      </w:r>
    </w:p>
    <w:p>
      <w:r>
        <w:rPr>
          <w:color w:val="555555"/>
          <w:sz w:val="17"/>
        </w:rPr>
        <w:t xml:space="preserve">Zitiervorschlag: § 84 StVollzG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https://recht.nulegal.eu/gesetze/StVollzG%20NRW/84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84 StVollzG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