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StVollzG NRW (Nordrhein-Westfalen) — Vollzugsöffnende Maßnahmen aus wichtigem Anlass</w:t>
      </w:r>
    </w:p>
    <w:p>
      <w:r>
        <w:rPr>
          <w:color w:val="555555"/>
          <w:sz w:val="18"/>
        </w:rPr>
        <w:t xml:space="preserve">Strafvollzugsgesetz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Vollzugsöffnende Maßnahmen nach § 53 Absatz 2 Nummer 1 bis 3 können auch aus wichtigem Anlass gewährt werden. Wichtige Anlässe sind insbesondere die Teilnahme an gerichtlichen Terminen, die medizinische Behandlung der Gefangenen sowie der Tod oder die lebensgefährliche Erkrankung naher Angehöriger der Gefangenen. § 53 Absatz 1 gilt entsprechend.</w:t>
      </w:r>
    </w:p>
    <w:p>
      <w:r>
        <w:t xml:space="preserve">(2) Bei Ausführungen aus wichtigem Anlass gilt § 53 Absatz 4 (elektronische Aufenthaltsüberwachung) entsprechend.</w:t>
      </w:r>
    </w:p>
    <w:p>
      <w:r>
        <w:t xml:space="preserve">(3) Ausführungen aus wichtigem Anlass sind auch ohne Zustimmung der Gefangenen zulässig, wenn dies aus besonderen Gründen notwendig ist.</w:t>
      </w:r>
    </w:p>
    <w:p>
      <w:r>
        <w:t xml:space="preserve">(4) Langzeitausgang aus wichtigem Anlass, der nicht zur Teilnahme an gerichtlichen Terminen oder anlässlich des Todes oder der lebensgefährlichen Erkrankung naher Angehöriger gewährt wird, darf sieben Tage im Vollstreckungsjahr nicht übersteigen. Er wird nicht auf die Höchstdauer nach § 54 Absatz 1 Satz 1 angerechnet.</w:t>
      </w:r>
    </w:p>
    <w:p>
      <w:r>
        <w:rPr>
          <w:color w:val="555555"/>
          <w:sz w:val="17"/>
        </w:rPr>
        <w:t xml:space="preserve">Zitiervorschlag: § 55 StVollzG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https://recht.nulegal.eu/gesetze/StVollzG%20NRW/55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StVollzG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