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 StVollzG NRW (Nordrhein-Westfalen) — Schriftwechsel</w:t>
      </w:r>
    </w:p>
    <w:p>
      <w:r>
        <w:rPr>
          <w:color w:val="555555"/>
          <w:sz w:val="18"/>
        </w:rPr>
        <w:t xml:space="preserve">Strafvollzugsgesetz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Anstalt vermittelt die Absendung und den Empfang der Schreiben der Gefangenen. Eingehende und ausgehende Schreiben sind unverzüglich weiterzuleiten.</w:t>
      </w:r>
    </w:p>
    <w:p>
      <w:r>
        <w:t xml:space="preserve">(2) Gefangene haben eingehende Schreiben unverschlossen zu verwahren, soweit nichts anderes angeordnet ist. Sie können die Schreiben auch verschlossen zu ihrer Habe geben.</w:t>
      </w:r>
    </w:p>
    <w:p>
      <w:r>
        <w:rPr>
          <w:color w:val="555555"/>
          <w:sz w:val="17"/>
        </w:rPr>
        <w:t xml:space="preserve">Zitiervorschlag: § 21 StVollzG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https://recht.nulegal.eu/gesetze/StVollzG%20NRW/21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 StVollzG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