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StV_VwV_124939 (Bayern)</w:t>
      </w:r>
    </w:p>
    <w:p>
      <w:r>
        <w:rPr>
          <w:color w:val="555555"/>
          <w:sz w:val="18"/>
        </w:rPr>
        <w:t xml:space="preserve">Verwaltungsabkommen zwischen dem Land Baden-Württemberg und dem Freistaat Bayern über die Wahrnehmung der verkehrspolizeilichen Vollzugsaufgaben auf der Bundesautobahn Würzburg – Kempten (Teilstück Altenstadt – Memmingen/Süd) Vom 8./23. März 1973</w:t>
      </w:r>
    </w:p>
    <w:p>
      <w:r>
        <w:rPr>
          <w:color w:val="555555"/>
          <w:sz w:val="18"/>
        </w:rPr>
        <w:t xml:space="preserve">Landesrecht Bayern</w:t>
      </w:r>
    </w:p>
    <w:p>
      <w:r>
        <w:rPr>
          <w:color w:val="555555"/>
          <w:sz w:val="18"/>
        </w:rPr>
        <w:t xml:space="preserve">Stand: 25.08.2026 (konsolidierte Textfassung, kein amtliches Inkrafttretensdatum)</w:t>
      </w:r>
    </w:p>
    <w:p>
      <w:r>
        <w:t xml:space="preserve">(1) Das Land Baden-Württemberg stellt den Freistaat Bayern von allen Verbindlichkeiten frei, die diesem bei der Wahrnehmung der verkehrspolizeilichen Vollzugsaufgaben im Übertragungsbereich durch Amtspflichtverletzungen oder durch rechtmäßige oder schuldlos rechtswidrige Eingriffe bayerischer Polizeibeamter in Rechte Dritter erwachsen.</w:t>
      </w:r>
    </w:p>
    <w:p>
      <w:r>
        <w:t xml:space="preserve">(2) Absatz 1 gilt nicht, soweit der Freistaat Bayern durch Rückgriff auf seine Bediensteten Ersatz erlangen kann. Bei der Höhe der Rückgriffnahme ist nach den allgemein üblichen Grundsätzen zu verfahren.</w:t>
      </w:r>
    </w:p>
    <w:p>
      <w:r>
        <w:rPr>
          <w:color w:val="555555"/>
          <w:sz w:val="17"/>
        </w:rPr>
        <w:t xml:space="preserve">Zitiervorschlag: Art 4 StV_VwV_124939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https://recht.nulegal.eu/gesetze/StV_VwV_124939/4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