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StV_VwV_124939 (Bayern)</w:t>
      </w:r>
    </w:p>
    <w:p>
      <w:r>
        <w:rPr>
          <w:color w:val="555555"/>
          <w:sz w:val="18"/>
        </w:rPr>
        <w:t xml:space="preserve">Verwaltungsabkommen zwischen dem Land Baden-Württemberg und dem Freistaat Bayern über die Wahrnehmung der verkehrspolizeilichen Vollzugsaufgaben auf der Bundesautobahn Würzburg – Kempten (Teilstück Altenstadt – Memmingen/Süd) Vom 8./23. März 1973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 und Umfang der polizeilichen Befugnisse der bayerischen Polizeidienstkräfte im Übertragungsbereich bestimmen sich nach baden-württembergischem Landesrecht.</w:t>
      </w:r>
    </w:p>
    <w:p>
      <w:r>
        <w:t xml:space="preserve">(2) Die zuständigen Polizeibehörden des Landes Baden-Württemberg sind nach Maßgabe des baden-württembergischen Rechts gegenüber den bayerischen Polizeidienststellen und Polizeidienstkräften zur Erteilung von Sachweisungen befugt, soweit diese polizeiliche Maßnahmen im Übertragungsbereich betreffen.</w:t>
      </w:r>
    </w:p>
    <w:p>
      <w:r>
        <w:t xml:space="preserve">(3) Die Dienstaufsicht bleibt unberührt.</w:t>
      </w:r>
    </w:p>
    <w:p>
      <w:r>
        <w:rPr>
          <w:color w:val="555555"/>
          <w:sz w:val="17"/>
        </w:rPr>
        <w:t xml:space="preserve">Zitiervorschlag: Art 2 StV_VwV_124939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https://recht.nulegal.eu/gesetze/StV_VwV_124939/2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