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StV_MDWaStr_Bay_D (Bayern) — Inkrafttreten</w:t>
      </w:r>
    </w:p>
    <w:p>
      <w:r>
        <w:rPr>
          <w:color w:val="555555"/>
          <w:sz w:val="18"/>
        </w:rPr>
        <w:t xml:space="preserve">Staatsvertrag zwischen der Bundesrepublik Deutschland und dem Freistaat Bayern über den rechtlichen Status der Main-Donau-Wasserstraße zwischen Nürnberg und Kelheim sowie des Regen in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wird wirksam, wenn Bayern das Vorliegen der nach seiner Verfassung erforderlichen Voraussetzungen mitgeteilt hat und wenn das Gesetz über den rechtlichen Status der Main-Donau-Wasserstraße zwischen Nürnberg und der Donau bei Kelheim sowie des Regen in Regensburg und über die damit zusammenhängenden Eigentumsverhältnisse in Kraft getreten ist.</w:t>
      </w:r>
    </w:p>
    <w:p>
      <w:r>
        <w:rPr>
          <w:color w:val="555555"/>
          <w:sz w:val="17"/>
        </w:rPr>
        <w:t xml:space="preserve">Zitiervorschlag: § 4 StV_MDWaStr_Bay_D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https://recht.nulegal.eu/gesetze/StV_MDWaStr_Bay_D/4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