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StV_MDWaStr_Bay_D (Bayern) — Eigentumsverhältnisse und Fischereirechte</w:t>
      </w:r>
    </w:p>
    <w:p>
      <w:r>
        <w:rPr>
          <w:color w:val="555555"/>
          <w:sz w:val="18"/>
        </w:rPr>
        <w:t xml:space="preserve">Staatsvertrag zwischen der Bundesrepublik Deutschland und dem Freistaat Bayern über den rechtlichen Status der Main-Donau-Wasserstraße zwischen Nürnberg und Kelheim sowie des Regen in Regensburg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Eigentum an den in § 1 Abs. 1 bezeichneten Strecken steht dem Bund zu.</w:t>
      </w:r>
    </w:p>
    <w:p>
      <w:r>
        <w:t xml:space="preserve">(2) Das Fischereirecht an der Kanalstrecke nach § 1 Abs. 1 Nr. 1 zwischen MDK-km 130,00 (Bau–km) und der Einmündung in die ausgebaute Altmühl und an den ausgebauten Strecken nach § 1 Abs. 1 Nr. 2 und 3 steht dem Freistaat Bayern als selbständiges Recht zu. Fischereirechte Dritter bleiben unberührt.</w:t>
      </w:r>
    </w:p>
    <w:p>
      <w:r>
        <w:t xml:space="preserve">(3) Ein Wertausgleich findet nicht statt.</w:t>
      </w:r>
    </w:p>
    <w:p>
      <w:r>
        <w:t xml:space="preserve">(4) Das Grundbuch wird auf Grund eines gemeinsamen Ersuchens des Bundes und Bayerns berichtigt. Der Übergang des Eigentums und der anderen Rechte ist von Abgaben und Kosten befreit.</w:t>
      </w:r>
    </w:p>
    <w:p>
      <w:r>
        <w:rPr>
          <w:color w:val="555555"/>
          <w:sz w:val="17"/>
        </w:rPr>
        <w:t xml:space="preserve">Zitiervorschlag: § 3 StV_MDWaStr_Bay_D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https://recht.nulegal.eu/gesetze/StV_MDWaStr_Bay_D/3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