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StV_MDWaStr_Bay_D (Bayern) — Erklärung zur Bundeswasserstraße</w:t>
      </w:r>
    </w:p>
    <w:p>
      <w:r>
        <w:rPr>
          <w:color w:val="555555"/>
          <w:sz w:val="18"/>
        </w:rPr>
        <w:t xml:space="preserve">Staatsvertrag zwischen der Bundesrepublik Deutschland und dem Freistaat Bayern über den rechtlichen Status der Main-Donau-Wasserstraße zwischen Nürnberg und Kelheim sowie des Regen in Regensburg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Main-Donau-Kanal im Abschnitt zwischen Nürnberg und Kelheim und der ausgebaute Regen werden zu Bundeswasserstraßen erklärt, und zwar:</w:t>
      </w:r>
    </w:p>
    <w:p>
      <w:r>
        <w:t xml:space="preserve">1. die Kanalstrecke von der Einfahrt in die seitlichen Becken des Hafens Nürnberg bis zur Einmündung in die ausgebaute Altmühl bei Dietfurt,</w:t>
      </w:r>
    </w:p>
    <w:p>
      <w:r>
        <w:t xml:space="preserve">2. die ausgebaute Altmühl 90 m oberhalb des Wehres Dietfurt bis zur Mündung in die ausgebaute Donau bei Kelheim,</w:t>
      </w:r>
    </w:p>
    <w:p>
      <w:r>
        <w:t xml:space="preserve">3. der ausgebaute Regen in Regensburg von Regen-km 0.435 bis zur Mündung in die Donau (Donau-Nordarm).</w:t>
      </w:r>
    </w:p>
    <w:p>
      <w:r>
        <w:t xml:space="preserve">(2) Teilstrecken der Wasserstraße, die dem allgemeinen Verkehr dienen sollen, werden vom Bundesminister für Verkehr im Einvernehmen mit dem Bayerischen Staatsminister des Innern freigegeben.</w:t>
      </w:r>
    </w:p>
    <w:p>
      <w:r>
        <w:t xml:space="preserve">(3) Der Bundesminister für Verkehr wird durch Rechtsverordnung die freigegebenen Teilstrecken in die Anlage zu § 1 Abs. 1 des Bundeswasserstraßengesetzes als dem allgemeinen Verkehr dienende Bundeswasserstraßen aufnehmen.</w:t>
      </w:r>
    </w:p>
    <w:p>
      <w:r>
        <w:rPr>
          <w:color w:val="555555"/>
          <w:sz w:val="17"/>
        </w:rPr>
        <w:t xml:space="preserve">Zitiervorschlag: § 1 StV_MDWaStr_Bay_D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https://recht.nulegal.eu/gesetze/StV_MDWaStr_Bay_D/1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