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7 StVZuBayRAStBV (Bayern) — Kündigung des Staatsvertrags</w:t>
      </w:r>
    </w:p>
    <w:p>
      <w:r>
        <w:rPr>
          <w:color w:val="555555"/>
          <w:sz w:val="18"/>
        </w:rPr>
        <w:t xml:space="preserve">Staatsvertrag zwischen dem Land Nordrhein-Westfalen und dem Freistaat Bayern über die Zugehörigkeit der Mitglieder der Patentanwaltskammer, die ihren Kanzleisitz in Nordrhein-Westfalen eingerichtet haben, zur Bayerischen Rechtsanwalts- und Steuerberaterversorgung Vom 1./31. Dezember 2012</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kann von jedem der vertragschließenden Teile mit einer Frist von fünf Jahren zum Ablauf eines Kalenderjahres gekündigt werden. Vor Ablauf von zehn Jahren nach Inkrafttreten dieses Staatsvertrages ist eine ordentliche Kündigung ausgeschlossen. Abweichend von den Sätzen 1 und 2 kann das Land Nordrhein-Westfalen den Staatsvertrag zum Ablauf des nächsten Kalenderjahres kündigen, wenn die Bestimmungen des bayerischen Gesetzes über das öffentliche Versorgungswesen gegenüber der beim Inkrafttreten dieses Staatsvertrages geltenden Fassung wesentlich geändert werden. Eine wesentliche Änderung ist anzunehmen, wenn die Regelungen zur Aufgabe des Versorgungswerkes (Versorgungsauftrag), zur Mitgliedschaft und Beitragspflicht der Mitglieder oder zu den Leistungen des Versorgungswerkes nicht nur unerheblich geändert werden.</w:t>
      </w:r>
    </w:p>
    <w:p>
      <w:r>
        <w:t xml:space="preserve">(2) Im Fall der Kündigung übernimmt ein durch das Land Nordrhein-Westfalen innerhalb der Kündigungsfrist zu bestimmender Rechtsträger die Versorgungsverhältnisse der in Nordrhein-Westfalen beruflich tätigen Mitglieder sowie derjenigen in Nordrhein-Westfalen wohnhaften Versorgungsempfänger, die auf Grund dieses Staatsvertrages Mitglieder des Versorgungswerks geworden waren. Auf diesen Rechtsträger gehen alle Rechte und Pflichten des Versorgungswerks aus den übernommenen Versorgungsverhältnissen über.</w:t>
      </w:r>
    </w:p>
    <w:p>
      <w:r>
        <w:t xml:space="preserve">(3) Es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zum Tag des Wirksamwerdens der Kündigung zu erstellenden Auseinandersetzungsbilanz, wobei Verkehrswerte zugrunde zu legen sind. Von der Summe der aktiven Vermögenswerte ist die Summe der nichtversicherungstechnischen Verbindlichkeiten abzuziehen. Das so ermittelte Vermögen ist nach dem Verhältnis der versicherungstechnischen Verbindlichkeiten, die den ausscheidenden Mitgliederbestand betreffen, zu den versicherungstechnischen Verbindlichkeiten des verbleibenden Bestandes des Versorgungswerks aufzuteilen; soweit nichtversicherungstechnische Verbindlichkeiten vom Rechtsnachfolger übernommen werden, sind ihm die entsprechenden Deckungsmittel zu überlassen. Bei der Verteilung des Vermögens sind die im Land Nordrhein-Westfalen gemäß Artikel 5 in Grundstücken, grundstücksgleichen Rechten und Rechten an diesen angelegten Vermögenswerte auf Verlangen auf den Rechtsnachfolger zu übertragen; bei den übrigen Vermögenswerten ist das Versorgungswerk berechtigt, Wertpapiere und Grundbesitz in Geldwert abzulösen.</w:t>
      </w:r>
    </w:p>
    <w:p>
      <w:r>
        <w:t xml:space="preserve">(4) Die Auseinandersetzung des Vermögens bedarf der aufsichtlichen Genehmigung durch das Bayerische Staatsministerium des Innern. Die Genehmigung wird im Einvernehmen mit dem Finanzministerium des Landes Nordrhein-Westfalen erteilt.</w:t>
      </w:r>
    </w:p>
    <w:p>
      <w:r>
        <w:rPr>
          <w:color w:val="555555"/>
          <w:sz w:val="17"/>
        </w:rPr>
        <w:t xml:space="preserve">Zitiervorschlag: Art 7 StVZuBayRAStBV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https://recht.nulegal.eu/gesetze/StVZuBayRAStBV/7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7 StVZuBayRAStBV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