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StVZOAusnV 6</w:t>
      </w:r>
    </w:p>
    <w:p>
      <w:r>
        <w:rPr>
          <w:color w:val="555555"/>
          <w:sz w:val="18"/>
        </w:rPr>
        <w:t xml:space="preserve">Sechste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49a Abs. 1 Satz 1 und § 50 Abs. 4 StVZO dürfen bei Fernlichtschaltung auch die besonderen Abblendscheinwerfer Fernlicht ausstrahlen.</w:t>
      </w:r>
    </w:p>
    <w:p>
      <w:r>
        <w:rPr>
          <w:color w:val="555555"/>
          <w:sz w:val="17"/>
        </w:rPr>
        <w:t xml:space="preserve">Zitiervorschlag: § 4 StVZOAusnV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StVZOAusnV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