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StVZOAusnV 6</w:t>
      </w:r>
    </w:p>
    <w:p>
      <w:r>
        <w:rPr>
          <w:color w:val="555555"/>
          <w:sz w:val="18"/>
        </w:rPr>
        <w:t xml:space="preserve">Sechste Ausnahmeverordnung zur StVZO</w:t>
      </w:r>
    </w:p>
    <w:p>
      <w:r>
        <w:rPr>
          <w:color w:val="555555"/>
          <w:sz w:val="18"/>
        </w:rPr>
        <w:t xml:space="preserve">Stand: 10.06.2019 (konsolidierte Textfassung, kein amtliches Inkrafttretensdatum)</w:t>
      </w:r>
    </w:p>
    <w:p>
      <w:r>
        <w:t xml:space="preserve">§ 33 StVZO gilt nicht für Kraftfahrzeuge, die den Vorschriften über Bau und Ausrüstung von Anhängern entsprechen und bei denen dies aus einer vom Kraftfahrzeugführer mitgeführten Bescheinigung der Zulassungsbehörde oder eines amtlich anerkannten Sachverständigen für den Kraftfahrzeugverkehr oder aus dem nach § 4 Abs. 5 der Fahrzeug-Zulassungsverordnung mitzuführenden oder aufzubewahrenden Nachweis ersichtlich ist.</w:t>
      </w:r>
    </w:p>
    <w:p>
      <w:r>
        <w:rPr>
          <w:color w:val="555555"/>
          <w:sz w:val="17"/>
        </w:rPr>
        <w:t xml:space="preserve">Zitiervorschlag: § 3 StVZOAusnV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https://recht.nulegal.eu/gesetze/StVZOAusnV%206/3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StVZOAusnV 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