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StVZOAusnV 6</w:t>
      </w:r>
    </w:p>
    <w:p>
      <w:r>
        <w:rPr>
          <w:color w:val="555555"/>
          <w:sz w:val="18"/>
        </w:rPr>
        <w:t xml:space="preserve">Sechste Ausnahmeverordnung zur StVZO</w:t>
      </w:r>
    </w:p>
    <w:p>
      <w:r>
        <w:rPr>
          <w:color w:val="555555"/>
          <w:sz w:val="18"/>
        </w:rPr>
        <w:t xml:space="preserve">Stand: 01.09.2023 (konsolidierte Textfassung, kein amtliches Inkrafttretensdatum)</w:t>
      </w:r>
    </w:p>
    <w:p>
      <w:r>
        <w:t xml:space="preserve">Abweichend von § 3 Abs. 1 der Fahrzeug-Zulassungsverordnung genügt bei Gerätewagen in Lohndreschbetrieben, wenn sie nur für Zwecke dieser Betriebe verwendet und mit einer Geschwindigkeit von nicht mehr als 25 km/h hinter Zugmaschinen oder selbstfahrenden Arbeitsmaschinen mitgeführt werden, die entsprechende Anwendung des § 4 Abs. 1 und 5 Satz 1 der Fahrzeug-Zulassungsverordnung; § 3 Absatz 3 Satz 1 Nummer 2 Buchstabe a und Satz 2 der Fahrzeug-Zulassungsverordnung gelten entsprechend.</w:t>
      </w:r>
    </w:p>
    <w:p>
      <w:r>
        <w:rPr>
          <w:color w:val="555555"/>
          <w:sz w:val="17"/>
        </w:rPr>
        <w:t xml:space="preserve">Zitiervorschlag: § 2 StVZOAusnV 6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https://recht.nulegal.eu/gesetze/StVZOAusnV%206/2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