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 StVZOAusnV 52</w:t>
      </w:r>
    </w:p>
    <w:p>
      <w:r>
        <w:rPr>
          <w:color w:val="555555"/>
          <w:sz w:val="18"/>
        </w:rPr>
        <w:t xml:space="preserve">52. Ausnahmeverordnung zur StVZO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Tage nach der Verkündung in Kraft.</w:t>
      </w:r>
    </w:p>
    <w:p>
      <w:r>
        <w:rPr>
          <w:color w:val="555555"/>
          <w:sz w:val="17"/>
        </w:rPr>
        <w:t xml:space="preserve">Zitiervorschlag: § 2 StVZOAusnV 52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https://recht.nulegal.eu/gesetze/StVZOAusnV%2052/2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 StVZOAusnV 52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