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StVZOAusnV 42</w:t>
      </w:r>
    </w:p>
    <w:p>
      <w:r>
        <w:rPr>
          <w:color w:val="555555"/>
          <w:sz w:val="18"/>
        </w:rPr>
        <w:t xml:space="preserve">42. Ausnahmeverordnung zur StVZO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6 Abs. 1 Nr. 3 Buchstabe a in Verbindung mit Abs. 3 des Straßenverkehrsgesetzes in der im Bundesgesetzblatt Teil III, Gliederungsnummer 9231-1, veröffentlichten bereinigten Fassung, die Eingangsworte in Absatz 1 Nr. 3 zuletzt geändert durch § 37 Abs. 2 des Gesetzes vom 24. August 1965 (BGBl. I S. 927) sowie Absatz 3 eingefügt durch § 70 Abs. 1 Nr. 3 des Gesetzes vom 15. März 1974 (BGBl. I S. 721) und geändert gemäß Artikel 22 Nr. 3 der Verordnung vom 26. November 1986 (BGBl. I S. 2089), verordnet der Bundesminister für Verkehr nach Anhörung der zuständigen obersten Landesbehörden:</w:t>
      </w:r>
    </w:p>
    <w:p>
      <w:r>
        <w:rPr>
          <w:color w:val="555555"/>
          <w:sz w:val="17"/>
        </w:rPr>
        <w:t xml:space="preserve">Zitiervorschlag: Eingangsformel StVZOAusnV 42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https://recht.nulegal.eu/gesetze/StVZOAusnV%2042/eingangsformel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