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StVZOAusnV 25</w:t>
      </w:r>
    </w:p>
    <w:p>
      <w:r>
        <w:rPr>
          <w:color w:val="555555"/>
          <w:sz w:val="18"/>
        </w:rPr>
        <w:t xml:space="preserve">25. Ausnahmeverordnung zur StVZO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3 sowie des Absatzes 3 des Straßenverkehrsgesetzes in der Fassung der Bekanntmachung vom 19. Dezember 1952 (Bundesgesetzbl. I S. 837), zuletzt geändert durch § 13 Abs. 3 des Gesetzes über die Beförderung gefährlicher Güter vom 6. August 1975 (Bundesgesetzbl. I S. 2121), wird nach Anhören der zuständigen obersten Landesbehörden verordnet:</w:t>
      </w:r>
    </w:p>
    <w:p>
      <w:r>
        <w:rPr>
          <w:color w:val="555555"/>
          <w:sz w:val="17"/>
        </w:rPr>
        <w:t xml:space="preserve">Zitiervorschlag: Eingangsformel StVZOAusnV 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https://recht.nulegal.eu/gesetze/StVZOAusnV%2025/eingangsformel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StVZOAusnV 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