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15</w:t>
      </w:r>
    </w:p>
    <w:p>
      <w:r>
        <w:rPr>
          <w:color w:val="555555"/>
          <w:sz w:val="18"/>
        </w:rPr>
        <w:t xml:space="preserve">Fünfzehnte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und des § 27 Abs. 3 des Straßenverkehrsgesetzes wird nach Anhören der zuständigen obersten Landesbehörden verordnet:</w:t>
      </w:r>
    </w:p>
    <w:p>
      <w:r>
        <w:rPr>
          <w:color w:val="555555"/>
          <w:sz w:val="17"/>
        </w:rPr>
        <w:t xml:space="preserve">Zitiervorschlag: Eingangsformel StVZOAusnV 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https://recht.nulegal.eu/gesetze/StVZOAusnV%2015/eingangsformel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