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StVZOAusnV 15</w:t>
      </w:r>
    </w:p>
    <w:p>
      <w:r>
        <w:rPr>
          <w:color w:val="555555"/>
          <w:sz w:val="18"/>
        </w:rPr>
        <w:t xml:space="preserve">Fünfzehnte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(weggefallen)</w:t>
      </w:r>
    </w:p>
    <w:p>
      <w:r>
        <w:t xml:space="preserve">(2) (weggefallen)</w:t>
      </w:r>
    </w:p>
    <w:p>
      <w:r>
        <w:t xml:space="preserve">(3) Abweichend von § 29 Abs. 1 der Straßenverkehrs-Zulassung Ordnung dürfen an Fahrzeugen der auf Grund des Nordatlantikvertrags errichteten internationalen militärischen Hauptquartiere, soweit die Fahrzeuge ihren regelmäßigen Standort im Geltungsbereich dieser Verordnung haben, auch nach § 16 Abs. 1 des Kraftfahrsachverständigengesetzes vom 22. Dezember 1971 (BGBl. I S. 2086), zuletzt geändert durch Artikel 12 Abs. 80 des Gesetzes vom 14. September 1994 (BGBl. I S. 2325), für den Bereich der Bundeswehr anerkannte Sachverständige oder Prüfer für den Kraftfahrzeugverkehr die Hauptuntersuchungen und Sicherheitsprüfungen durchführen. Abweichend von Nummer 3.2.1 der Anlage VIII der Straßenverkehrs-Zulassungs-Ordnung dürfen Sicherheitsprüfungen an diesen Fahrzeugen auch von geeigneten Werkstätten der Bundeswehr durchgeführt werden.</w:t>
      </w:r>
    </w:p>
    <w:p>
      <w:r>
        <w:rPr>
          <w:color w:val="555555"/>
          <w:sz w:val="17"/>
        </w:rPr>
        <w:t xml:space="preserve">Zitiervorschlag: § 1 StVZOAusnV 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