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StVZO 2012 — Technische Festlegungen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20.06.2024 (konsolidierte Textfassung, kein amtliches Inkrafttretensdatum)</w:t>
      </w:r>
    </w:p>
    <w:p>
      <w:r>
        <w:t xml:space="preserve">Soweit in dieser Verordnung auf DIN- oder ISO-Normen Bezug genommen wird, sind diese im Beuth Verlag GmbH, Saatwinkler Damm 42/43, 13627 Berlin, VDE-Bestimmungen auch im VDE-Verlag GmbH, Bismarckstraße 33, 10625 Berlin, erschienen. Sie sind beim Deutschen Patent- und Markenamt, Zweibrückenstraße 12, 80331 München archivmäßig gesichert niedergelegt.</w:t>
      </w:r>
    </w:p>
    <w:p>
      <w:r>
        <w:rPr>
          <w:color w:val="555555"/>
          <w:sz w:val="17"/>
        </w:rPr>
        <w:t xml:space="preserve">Zitiervorschlag: § 73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