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StVZO 2012 — Lenkeinrichtung, sonstige Ausrüstung und Bespannung</w:t>
      </w:r>
    </w:p>
    <w:p>
      <w:r>
        <w:rPr>
          <w:color w:val="555555"/>
          <w:sz w:val="18"/>
        </w:rPr>
        <w:t xml:space="preserve">Straßenverkehrs-Zulassungs-Ordnung</w:t>
      </w:r>
    </w:p>
    <w:p>
      <w:r>
        <w:rPr>
          <w:color w:val="555555"/>
          <w:sz w:val="18"/>
        </w:rPr>
        <w:t xml:space="preserve">Stand: 10.06.2019 (konsolidierte Textfassung, kein amtliches Inkrafttretensdatum)</w:t>
      </w:r>
    </w:p>
    <w:p>
      <w:r>
        <w:t xml:space="preserve">(1) Fahrzeuge müssen leicht lenkbar sein. § 35a Absatz 1, Absatz 10 Satz 1 und 4 und § 35d Absatz 1 sind entsprechend anzuwenden, soweit nicht die Beschaffenheit der zu befördernden Güter eine derartige Ausrüstung der Fahrzeuge ausschließt.</w:t>
      </w:r>
    </w:p>
    <w:p>
      <w:r>
        <w:t xml:space="preserve">(2) Die Bespannung zweispänniger Fuhrwerke, die (nur) eine Deichsel (in der Mitte) haben, mit nur einem Zugtier ist unzulässig, wenn die sichere und schnelle Einwirkung des Gespannführers auf die Lenkung des Fuhrwerks nicht gewährleistet ist; dies kann durch Anspannung mit Kumtgeschirr oder mit Sielen mit Schwanzriemen oder Hinterzeug, durch Straffung der Steuerkette und ähnliche Mittel erreicht werden. Unzulässig ist die Anspannung an den Enden der beiden Ortscheite (Schwengel) der Bracke (Waage) oder nur an einem Ortscheit der Bracke, wenn diese nicht mit einer Kette oder dergleichen festgelegt ist. Bei Pferden ist die Verwendung sogenannter Zupfleinen (Stoßzügel) unzulässig.</w:t>
      </w:r>
    </w:p>
    <w:p>
      <w:r>
        <w:rPr>
          <w:color w:val="555555"/>
          <w:sz w:val="17"/>
        </w:rPr>
        <w:t xml:space="preserve">Zitiervorschlag: § 64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