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61a StVZO 2012 — Besondere Vorschriften für Anhänger hinter Fahrrädern mit Hilfsmotor</w:t>
      </w:r>
    </w:p>
    <w:p>
      <w:r>
        <w:rPr>
          <w:color w:val="555555"/>
          <w:sz w:val="18"/>
        </w:rPr>
        <w:t xml:space="preserve">Straßenverkehrs-Zulassungs-Ordnung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Anhänger hinter Fahrrädern mit Hilfsmotor werden bei Anwendung der Bau- und Betriebsvorschriften wie Anhänger hinter Fahrrädern behandelt, wenn</w:t>
      </w:r>
    </w:p>
    <w:p>
      <w:pPr>
        <w:ind w:left="420"/>
      </w:pPr>
      <w:r>
        <w:t xml:space="preserve">1. die durch die Bauart bestimmte Höchstgeschwindigkeit des ziehenden Fahrzeugs 25 km/h nicht überschreitet oder</w:t>
      </w:r>
    </w:p>
    <w:p>
      <w:pPr>
        <w:ind w:left="420"/>
      </w:pPr>
      <w:r>
        <w:t xml:space="preserve">2. die Anhänger vor dem 1. April 1961 erstmals in den Verkehr gekommen sind.</w:t>
      </w:r>
    </w:p>
    <w:p>
      <w:r>
        <w:t xml:space="preserve">Auf andere Anhänger hinter Fahrrädern mit Hilfsmotor sind die Vorschriften über Anhänger hinter Kleinkrafträdern anzuwenden.</w:t>
      </w:r>
    </w:p>
    <w:p>
      <w:r>
        <w:rPr>
          <w:color w:val="555555"/>
          <w:sz w:val="17"/>
        </w:rPr>
        <w:t xml:space="preserve">Zitiervorschlag: § 61a StVZO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https://recht.nulegal.eu/gesetze/StVZO%202012/61a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