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StVZO 2012 — Halteeinrichtungen für Beifahrer sowie Fußstützen und Ständer von zweirädrigen Kraftfahrzeugen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Zweirädrige Kraftfahrzeuge, auf denen ein Beifahrer befördert werden darf, müssen mit einem Haltesystem für den Beifahrer ausgerüstet sein, das den im Anhang zu dieser Vorschrift genannten Bestimmungen entspricht.</w:t>
      </w:r>
    </w:p>
    <w:p>
      <w:r>
        <w:t xml:space="preserve">(2) Zweirädrige Kraftfahrzeuge müssen für den Fahrer und den Beifahrer beiderseits mit Fußstützen ausgerüstet sein.</w:t>
      </w:r>
    </w:p>
    <w:p>
      <w:r>
        <w:t xml:space="preserve">(3) Jedes zweirädrige Kraftfahrzeug muss mindestens mit einem Ständer ausgerüstet sein, der den im Anhang zu dieser Vorschrift genannten Bestimmungen entspricht.</w:t>
      </w:r>
    </w:p>
    <w:p>
      <w:r>
        <w:rPr>
          <w:color w:val="555555"/>
          <w:sz w:val="17"/>
        </w:rPr>
        <w:t xml:space="preserve">Zitiervorschlag: § 61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