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58 StVZO 2012 — Geschwindigkeitsschilder</w:t>
      </w:r>
    </w:p>
    <w:p>
      <w:r>
        <w:rPr>
          <w:color w:val="555555"/>
          <w:sz w:val="18"/>
        </w:rPr>
        <w:t xml:space="preserve">Straßenverkehrs-Zulassungs-Ordnung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Ein Geschwindigkeitsschild gibt die zulässige Höchstgeschwindigkeit des betreffenden Fahrzeugs in Kilometer je Stunde an.</w:t>
      </w:r>
    </w:p>
    <w:p>
      <w:r>
        <w:t xml:space="preserve">(2) Das Schild muss kreisrund mit einem Durchmesser von 200 mm sein und einen schwarzen Rand haben. Die Ziffern sind auf weißem Grund in schwarzer fetter Engschrift entsprechend Anlage V Seite 4 in einer Schriftgröße von 120 mm auszuführen.</w:t>
      </w:r>
    </w:p>
    <w:p>
      <w:r>
        <w:t xml:space="preserve">(2a) Geschwindigkeitsschilder dürfen retroreflektierend sein. Retroreflektierende Geschwindigkeitsschilder müssen dem Normblatt DIN 74069, Ausgabe Mai 1989, entsprechen, sowie auf der Vorderseite das DIN-Prüf- und Überwachungszeichen mit der zugehörigen Registernummer tragen.</w:t>
      </w:r>
    </w:p>
    <w:p>
      <w:r>
        <w:t xml:space="preserve">(3) Mit Geschwindigkeitsschildern müssen gekennzeichnet sein</w:t>
      </w:r>
    </w:p>
    <w:p>
      <w:pPr>
        <w:ind w:left="420"/>
      </w:pPr>
      <w:r>
        <w:t xml:space="preserve">1. mehrspurige Kraftfahrzeuge mit einer durch die Bauart bestimmten Höchstgeschwindigkeit von nicht mehr als 60 km/h,</w:t>
      </w:r>
    </w:p>
    <w:p>
      <w:pPr>
        <w:ind w:left="420"/>
      </w:pPr>
      <w:r>
        <w:t xml:space="preserve">2. Anhänger mit einer durch die Bauart bestimmten Höchstgeschwindigkeit von weniger als 100 km/h,</w:t>
      </w:r>
    </w:p>
    <w:p>
      <w:pPr>
        <w:ind w:left="420"/>
      </w:pPr>
      <w:r>
        <w:t xml:space="preserve">3. Anhänger mit einer eigenen mittleren Bremsverzögerung von weniger als 2,5 m/s2.</w:t>
      </w:r>
    </w:p>
    <w:p>
      <w:r>
        <w:t xml:space="preserve">(4) Absatz 3 gilt nicht für</w:t>
      </w:r>
    </w:p>
    <w:p>
      <w:pPr>
        <w:ind w:left="420"/>
      </w:pPr>
      <w:r>
        <w:t xml:space="preserve">1. die in § 36 Absatz 10 Satz 6 zweiter Halbsatz bezeichneten Gleiskettenfahrzeuge,</w:t>
      </w:r>
    </w:p>
    <w:p>
      <w:pPr>
        <w:ind w:left="420"/>
      </w:pPr>
      <w:r>
        <w:t xml:space="preserve">2. land- oder forstwirtschaftliche Zugmaschinen mit einer durch die Bauart bestimmten Höchstgeschwindigkeit von nicht mehr als 32 km/h,</w:t>
      </w:r>
    </w:p>
    <w:p>
      <w:pPr>
        <w:ind w:left="420"/>
      </w:pPr>
      <w:r>
        <w:t xml:space="preserve">3. land- oder forstwirtschaftliche Arbeitsgeräte, die hinter Kraftfahrzeugen mitgeführt werden.</w:t>
      </w:r>
    </w:p>
    <w:p>
      <w:r>
        <w:t xml:space="preserve">Die Vorschrift des § 36 Absatz 1 Satz 2 bleibt unberührt.</w:t>
      </w:r>
    </w:p>
    <w:p>
      <w:r>
        <w:t xml:space="preserve">(5) Die Geschwindigkeitsschilder müssen an beiden Längsseiten und an der Rückseite des Fahrzeugs angebracht werden. An land- oder forstwirtschaftlichen Zugmaschinen und ihren Anhängern genügt ein Geschwindigkeitsschild an der Fahrzeugrückseite; wird es wegen der Art des Fahrzeugs oder seiner Verwendung zeitweise verdeckt oder abgenommen, so muss ein Geschwindigkeitsschild an der rechten Längsseite vorhanden sein.</w:t>
      </w:r>
    </w:p>
    <w:p>
      <w:r>
        <w:rPr>
          <w:color w:val="555555"/>
          <w:sz w:val="17"/>
        </w:rPr>
        <w:t xml:space="preserve">Zitiervorschlag: § 58 StVZO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https://recht.nulegal.eu/gesetze/StVZO%202012/58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