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57c StVZO 2012 — Ausrüstung von Kraftfahrzeugen mit Geschwindigkeitsbegrenzern und ihre Benutzung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Geschwindigkeitsbegrenzer sind Einrichtungen, die im Kraftfahrzeug in erster Linie durch die Steuerung der Kraftstoffzufuhr zum Motor die Fahrzeughöchstgeschwindigkeit auf den eingestellten Wert beschränken.</w:t>
      </w:r>
    </w:p>
    <w:p>
      <w:r>
        <w:t xml:space="preserve">(2) Alle Kraftomnibusse sowie Lastkraftwagen, Zugmaschinen und Sattelzugmaschinen mit einer zulässigen Gesamtmasse von jeweils mehr als 3,5 t müssen mit einem Geschwindigkeitsbegrenzer ausgerüstet sein. Der Geschwindigkeitsbegrenzer ist bei</w:t>
      </w:r>
    </w:p>
    <w:p>
      <w:pPr>
        <w:ind w:left="420"/>
      </w:pPr>
      <w:r>
        <w:t xml:space="preserve">1. Kraftomnibussen auf eine Höchstgeschwindigkeit einschließlich aller Toleranzen von 100 km/h (Vset + Toleranzen ≤ 100 km/h),</w:t>
      </w:r>
    </w:p>
    <w:p>
      <w:pPr>
        <w:ind w:left="420"/>
      </w:pPr>
      <w:r>
        <w:t xml:space="preserve">2. Lastkraftwagen, Zugmaschinen und Sattelzugmaschinen auf eine Höchstgeschwindigkeit – einschließlich aller Toleranzen – von 90 km/h (vset + Toleranzen ≤ 90 km/h) einzustellen.</w:t>
      </w:r>
    </w:p>
    <w:p>
      <w:r>
        <w:t xml:space="preserve">(3) Mit einem Geschwindigkeitsbegrenzer brauchen nicht ausgerüstet zu sein:</w:t>
      </w:r>
    </w:p>
    <w:p>
      <w:pPr>
        <w:ind w:left="420"/>
      </w:pPr>
      <w:r>
        <w:t xml:space="preserve">1. Kraftfahrzeuge, deren durch die Bauart bestimmte tatsächliche Höchstgeschwindigkeit nicht höher als die jeweils in Absatz 2 Satz 2 in Verbindung mit Absatz 4 genannte Geschwindigkeit ist,</w:t>
      </w:r>
    </w:p>
    <w:p>
      <w:pPr>
        <w:ind w:left="420"/>
      </w:pPr>
      <w:r>
        <w:t xml:space="preserve">2. Kraftfahrzeuge der Bundeswehr, der Bundespolizei, der Einheiten und Einrichtungen des Katastrophenschutzes, der Feuerwehren, der Rettungsdienste und der Polizei,</w:t>
      </w:r>
    </w:p>
    <w:p>
      <w:pPr>
        <w:ind w:left="420"/>
      </w:pPr>
      <w:r>
        <w:t xml:space="preserve">3. Kraftfahrzeuge, die für wissenschaftliche Versuchszwecke auf der Straße oder zur Erprobung im Sinne des § 19 Absatz 6 eingesetzt werden, und</w:t>
      </w:r>
    </w:p>
    <w:p>
      <w:pPr>
        <w:ind w:left="420"/>
      </w:pPr>
      <w:r>
        <w:t xml:space="preserve">4. Kraftfahrzeuge, die ausschließlich für öffentliche Dienstleistungen innerhalb geschlossener Ortschaften eingesetzt werden oder die überführt werden (zum Beispiel vom Aufbauhersteller zum Betrieb oder für Wartungs- und Reparaturarbeiten).</w:t>
      </w:r>
    </w:p>
    <w:p>
      <w:r>
        <w:t xml:space="preserve">(4) Die Geschwindigkeitsbegrenzer müssen den im Anhang zu dieser Vorschrift genannten Bestimmungen über Geschwindigkeitsbegrenzer entsprechen.</w:t>
      </w:r>
    </w:p>
    <w:p>
      <w:r>
        <w:t xml:space="preserve">(5) Der Geschwindigkeitsbegrenzer muss so beschaffen sein, dass er nicht ausgeschaltet werden kann.</w:t>
      </w:r>
    </w:p>
    <w:p>
      <w:r>
        <w:rPr>
          <w:color w:val="555555"/>
          <w:sz w:val="17"/>
        </w:rPr>
        <w:t xml:space="preserve">Zitiervorschlag: § 57c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https://recht.nulegal.eu/gesetze/StVZO%202012/57c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