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57a StVZO 2012 — Fahrtschreiber und Kontrollgerät</w:t>
      </w:r>
    </w:p>
    <w:p>
      <w:r>
        <w:rPr>
          <w:color w:val="555555"/>
          <w:sz w:val="18"/>
        </w:rPr>
        <w:t xml:space="preserve">Straßenverkehrs-Zulassungs-Ordnung</w:t>
      </w:r>
    </w:p>
    <w:p>
      <w:r>
        <w:rPr>
          <w:color w:val="555555"/>
          <w:sz w:val="18"/>
        </w:rPr>
        <w:t xml:space="preserve">Stand: 07.07.2021 (konsolidierte Textfassung, kein amtliches Inkrafttretensdatum)</w:t>
      </w:r>
    </w:p>
    <w:p>
      <w:r>
        <w:t xml:space="preserve">(1) (weggefallen)</w:t>
      </w:r>
    </w:p>
    <w:p>
      <w:r>
        <w:t xml:space="preserve">(1a) Der Fahrtschreiber sowie alle lösbaren Verbindungen der Übertragungseinrichtungen müssen plombiert sein.</w:t>
      </w:r>
    </w:p>
    <w:p>
      <w:r>
        <w:t xml:space="preserve">(2) Der Fahrtschreiber muss vom Beginn bis zum Ende jeder Fahrt ununterbrochen in Betrieb sein und auch die Haltezeiten aufzeichnen. Die Schaublätter – bei mehreren miteinander verbundenen Schaublättern (Schaublattbündel) das erste Blatt – sind vor Antritt der Fahrt mit dem Namen der Führer sowie dem Ausgangspunkt und Datum der ersten Fahrt zu bezeichnen; ferner ist der Stand des Wegstreckenzählers am Beginn und am Ende der Fahrt oder beim Einlegen und bei der Entnahme des Schaublatts vom Kraftfahrzeughalter oder dessen Beauftragten einzutragen; andere, durch Rechtsvorschriften weder geforderte noch erlaubte Vermerke auf der Vorderseite des Schaublatts sind unzulässig. Es dürfen nur Schaublätter mit Prüfzeichen verwendet werden, die für den verwendeten Fahrtschreibertyp zugeteilt sind. Die Schaublätter sind zuständigen Personen auf Verlangen jederzeit vorzulegen; der Kraftfahrzeughalter hat sie ein Jahr lang aufzubewahren. Auf jeder Fahrt muss mindestens ein Ersatzschaublatt mitgeführt werden.</w:t>
      </w:r>
    </w:p>
    <w:p>
      <w:r>
        <w:t xml:space="preserve">(3) Die Absätze 1 bis 2 gelten nicht, wenn das Fahrzeug an Stelle eines vorgeschriebenen Fahrtschreibers mit einem Kontrollgerät im Sinne des Anhangs I oder des Anhangs I B der Verordnung (EWG) Nr. 3821/85 ausgerüstet ist. In diesem Fall ist das Kontrollgerät nach Maßgabe des Absatzes 2 zu betreiben; bei Verwendung eines Kontrollgerätes nach Anhang I B der Verordnung (EWG) Nr. 3821/85 muss die Fahrerkarte nicht gesteckt werden. Im Falle des Einsatzes von Kraftomnibussen im Linienverkehr bis 50 Kilometer kann anstelle des Namens der Führer das amtliche Kennzeichen oder die Betriebsnummer des jeweiligen Fahrzeugs auf den Ausdrucken und Schaublättern eingetragen werden. Die Daten des Massespeichers sind vom Kraftfahrzeughalter alle drei Monate herunterzuladen; § 2 Absatz 5 der Fahrpersonalverordnung gilt entsprechend. Wird bei Fahrzeugen zur Güterbeförderung mit einer zulässigen Gesamtmasse von mindestens 12 t oder bei Fahrzeugen zur Personenbeförderung mit mehr als acht Sitzplätzen außer dem Fahrersitz und einer zulässigen Gesamtmasse von mehr als 10 t, die ab dem 1. Januar 1996 erstmals zum Verkehr zugelassen wurden und bei denen die Übermittlung der Signale an das Kontrollgerät ausschließlich elektrisch erfolgt, das Kontrollgerät ausgetauscht, so muss dieses durch ein Gerät nach Anhang I B der Verordnung (EWG) Nr. 3821/85 ersetzt werden. Ein Austausch des Kontrollgerätes im Sinne des Satzes 5 liegt nur dann vor, wenn das gesamte System bestehend aus Registriereinheit und Geschwindigkeitsgeber getauscht wird.</w:t>
      </w:r>
    </w:p>
    <w:p>
      <w:r>
        <w:t xml:space="preserve">(4) Weitergehende Anforderungen in Sondervorschriften bleiben unberührt.</w:t>
      </w:r>
    </w:p>
    <w:p>
      <w:r>
        <w:rPr>
          <w:color w:val="555555"/>
          <w:sz w:val="17"/>
        </w:rPr>
        <w:t xml:space="preserve">Zitiervorschlag: § 57a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https://recht.nulegal.eu/gesetze/StVZO%202012/57a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