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57 StVZO 2012 — Geschwindigkeitsmessgerät und Wegstreckenzähler</w:t>
      </w:r>
    </w:p>
    <w:p>
      <w:r>
        <w:rPr>
          <w:color w:val="555555"/>
          <w:sz w:val="18"/>
        </w:rPr>
        <w:t xml:space="preserve">Straßenverkehrs-Zulassungs-Ordnung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Kraftfahrzeuge müssen mit einem im unmittelbaren Sichtfeld des Fahrzeugführers liegenden Geschwindigkeitsmessgerät ausgerüstet sein. Dies gilt nicht für</w:t>
      </w:r>
    </w:p>
    <w:p>
      <w:pPr>
        <w:ind w:left="420"/>
      </w:pPr>
      <w:r>
        <w:t xml:space="preserve">1. mehrspurige Kraftfahrzeuge mit einer durch die Bauart bestimmten Höchstgeschwindigkeit von nicht mehr als 30 km/h sowie</w:t>
      </w:r>
    </w:p>
    <w:p>
      <w:pPr>
        <w:ind w:left="420"/>
      </w:pPr>
      <w:r>
        <w:t xml:space="preserve">2. mit Fahrtschreiber oder Kontrollgerät (§ 57a) ausgerüstete Kraftfahrzeuge, wenn die Geschwindigkeitsanzeige im unmittelbaren Sichtfeld des Fahrzeugführers liegt.</w:t>
      </w:r>
    </w:p>
    <w:p>
      <w:r>
        <w:t xml:space="preserve">(2) Bei Geschwindigkeitsmessgeräten muss die Geschwindigkeit in Kilometer je Stunde angezeigt werden. Das Geschwindigkeitsmessgerät muss den im Anhang zu dieser Vorschrift genannten Bestimmungen entsprechen.</w:t>
      </w:r>
    </w:p>
    <w:p>
      <w:r>
        <w:t xml:space="preserve">(3) Das Geschwindigkeitsmessgerät darf mit einem Wegstreckenzähler verbunden sein, der die zurückgelegte Strecke in Kilometern anzeigt. Die vom Wegstreckenzähler angezeigte Wegstrecke darf von der tatsächlich zurückgelegten Wegstrecke ± 4 Prozent abweichen.</w:t>
      </w:r>
    </w:p>
    <w:p>
      <w:r>
        <w:rPr>
          <w:color w:val="555555"/>
          <w:sz w:val="17"/>
        </w:rPr>
        <w:t xml:space="preserve">Zitiervorschlag: § 57 StVZO 2012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https://recht.nulegal.eu/gesetze/StVZO%202012/57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