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StVZO 2012 — Spiegel und andere Einrichtungen für indirekte Sicht</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Kraftfahrzeuge müssen nach Maßgabe der Absätze 2 bis 3 Spiegel oder andere Einrichtungen für indirekte Sicht haben, die so beschaffen und angebracht sind, dass der Fahrzeugführer nach rückwärts, zur Seite und unmittelbar vor dem Fahrzeug – auch beim Mitführen von Anhängern – alle für ihn wesentlichen Verkehrsvorgänge beobachten kann.</w:t>
      </w:r>
    </w:p>
    <w:p>
      <w:r>
        <w:t xml:space="preserve">(2) Es sind erforderlich</w:t>
      </w:r>
    </w:p>
    <w:p>
      <w:pPr>
        <w:ind w:left="420"/>
      </w:pPr>
      <w:r>
        <w:t xml:space="preserve">1. bei Personenkraftwagen sowie Lastkraftwagen, Zugmaschinen und Sattelzugmaschinen mit einer zulässigen Gesamtmasse von nicht mehr als 3,5 t Spiegel oder andere Einrichtungen für indirekte Sicht, die in den im Anhang zu dieser Vorschrift genannten Bestimmungen für diese Fahrzeuge als vorgeschrieben bezeichnet sind; die vorgeschriebenen sowie vorhandene gemäß Anhang III Nummer 2.1.1 der im Anhang zu dieser Vorschrift genannten Richtlinie zulässige Spiegel oder andere Einrichtungen für indirekte Sicht müssen den im Anhang zu dieser Vorschrift genannten Bestimmungen entsprechen;</w:t>
      </w:r>
    </w:p>
    <w:p>
      <w:pPr>
        <w:ind w:left="420"/>
      </w:pPr>
      <w:r>
        <w:t xml:space="preserve">2. bei Lastkraftwagen, Zugmaschinen, Sattelzugmaschinen und Fahrzeugen mit besonderer Zweckbestimmung nach Anhang II Buchstabe A Nummer 5.6 und 5.7 der Richtlinie 70/156/EWG mit einer zulässigen Gesamtmasse von mehr als 3,5 t sowie bei Kraftomnibussen Spiegel oder andere Einrichtungen für indirekte Sicht, die in den im Anhang zu dieser Vorschrift genannten Bestimmungen für diese Fahrzeuge als vorgeschrieben bezeichnet sind;</w:t>
      </w:r>
    </w:p>
    <w:p>
      <w:r>
        <w:t xml:space="preserve">die vorgeschriebenen sowie vorhandenen gemäß Anhang III Nummer 2.1.1 der im Anhang zu dieser Vorschrift genannten Richtlinie zulässigen Spiegel oder andere Einrichtungen für indirekte Sicht müssen den im Anhang zu dieser Vorschrift genannten Bestimmungen entsprechen;</w:t>
      </w:r>
    </w:p>
    <w:p>
      <w:pPr>
        <w:ind w:left="420"/>
      </w:pPr>
      <w:r>
        <w:t xml:space="preserve">3. bei Lastkraftwagen, Zugmaschinen, Sattelzugmaschinen, selbstfahrenden Arbeitsmaschinen, die den Baumerkmalen von Lastkraftwagen hinsichtlich des Fahrgestells entsprechen, und Fahrzeugen mit besonderer Zweckbestimmung nach Anhang II Buchstabe A Nummer 5.7 und 5.8 der Richtlinie 2007/46/EG mit einer zulässigen Gesamtmasse von mehr als 3,5 t, die ab dem 1. Januar 2000 bis zum 25. Januar 2007 erstmals in den Verkehr gekommen sind, Spiegel oder andere Einrichtungen für indirekte Sicht, die in den im Anhang zu dieser Vorschrift genannten Bestimmungen für diese Fahrzeuge als vorgeschrieben bezeichnet sind; diese Spiegel oder andere Einrichtungen für indirekte Sicht müssen den im Anhang zu dieser Vorschrift oder im Anhang zu den Nummern 1 und 2 genannten Bestimmungen entsprechen;</w:t>
      </w:r>
    </w:p>
    <w:p>
      <w:pPr>
        <w:ind w:left="420"/>
      </w:pPr>
      <w:r>
        <w:t xml:space="preserve">4. bei land- oder forstwirtschaftlichen Zugmaschinen mit einer durch die Bauart bestimmten Höchstgeschwindigkeit von nicht mehr als 40 km/h Spiegel, die den im Anhang zu dieser Vorschrift genannten Bestimmungen entsprechen müssen,</w:t>
      </w:r>
    </w:p>
    <w:p>
      <w:pPr>
        <w:ind w:left="420"/>
      </w:pPr>
      <w:r>
        <w:t xml:space="preserve">5. bei Kraftfahrzeugen nach Artikel 1 der Richtlinie 2002/24/EG Spiegel, die den im Anhang zu dieser Vorschrift genannten Bestimmungen entsprechen müssen.</w:t>
      </w:r>
    </w:p>
    <w:p>
      <w:r>
        <w:t xml:space="preserve">(2a) Bei land- oder forstwirtschaftlichen Zugmaschinen mit einer durch die Bauart bestimmten Höchstgeschwindigkeit von mehr als 40 km/h sowie bei Arbeitsmaschinen und Staplern ist § 56 Absatz 2 in der am 29. März 2005 geltenden Fassung anzuwenden.</w:t>
      </w:r>
    </w:p>
    <w:p>
      <w:r>
        <w:t xml:space="preserve">(3) Nicht erforderlich sind Spiegel bei einachsigen Zugmaschinen, einachsigen Arbeitsmaschinen, offenen Elektrokarren mit einer durch die Bauart bestimmten Höchstgeschwindigkeit von nicht mehr als 25 km/h sowie mehrspurigen Kraftfahrzeugen mit einer durch die Bauart bestimmten Höchstgeschwindigkeit von nicht mehr als 25 km/h und mit offenem Führerplatz, der auch beim Mitführen von unbeladenen oder beladenen Anhängern nach rückwärts Sicht bietet.</w:t>
      </w:r>
    </w:p>
    <w:p>
      <w:r>
        <w:rPr>
          <w:color w:val="555555"/>
          <w:sz w:val="17"/>
        </w:rPr>
        <w:t xml:space="preserve">Zitiervorschlag: § 56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