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55a StVZO 2012 — Elektromagnetische Verträglichkeit</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Personenkraftwagen, Kraftomnibusse, Lastkraftwagen, Zugmaschinen und Sattelzugmaschinen mit mindestens vier Rädern und einer durch die Bauart bestimmten Höchstgeschwindigkeit von mehr als 25 km/h – ausgenommen land- oder forstwirtschaftliche Zugmaschinen, Muldenkipper, Flurförderzeuge, Elektrokarren und Autoschütter – sowie ihre Anhänger müssen den im Anhang zu dieser Vorschrift genannten Bestimmungen über die elektromagnetische Verträglichkeit entsprechen. Satz 1 gilt entsprechend für andere Fahrzeuge, die hinsichtlich ihrer Baumerkmale des Fahrgestells und ihrer elektrischen Ausrüstung den genannten Fahrzeugen gleichzusetzen sind, sowie für Bauteile und selbstständige technische Einheiten, die zum Einbau in den genannten Fahrzeugen bestimmt sind.</w:t>
      </w:r>
    </w:p>
    <w:p>
      <w:r>
        <w:t xml:space="preserve">(2) Kraftfahrzeuge nach § 30a Absatz 3 sowie zum Einbau in diese Fahrzeuge bestimmte selbstständige technische Einheiten müssen den im Anhang zu dieser Vorschrift genannten Bestimmungen über die elektromagnetische Verträglichkeit entsprechen.</w:t>
      </w:r>
    </w:p>
    <w:p>
      <w:r>
        <w:rPr>
          <w:color w:val="555555"/>
          <w:sz w:val="17"/>
        </w:rPr>
        <w:t xml:space="preserve">Zitiervorschlag: § 55a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