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54a StVZO 2012 — Innenbeleuchtung in Kraftomnibussen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Kraftomnibusse müssen eine Innenbeleuchtung haben; diese darf die Sicht des Fahrzeugführers nicht beeinträchtigen.</w:t>
      </w:r>
    </w:p>
    <w:p>
      <w:r>
        <w:t xml:space="preserve">(2) Die für Fahrgäste bestimmten Ein- und Ausstiege müssen ausreichend ausgeleuchtet sein, solange die jeweilige Fahrgasttür nicht geschlossen ist.</w:t>
      </w:r>
    </w:p>
    <w:p>
      <w:r>
        <w:rPr>
          <w:color w:val="555555"/>
          <w:sz w:val="17"/>
        </w:rPr>
        <w:t xml:space="preserve">Zitiervorschlag: § 54a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https://recht.nulegal.eu/gesetze/StVZO%202012/54a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