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53c StVZO 2012 — Tarnleuchten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Fahrzeuge der Bundeswehr, der Bundespolizei, der Polizei und des Katastrophenschutzes dürfen zusätzlich mit den zum Tarnlichtkreis gehörenden Leuchten – Tarnscheinwerfer, Tarnschlussleuchten, Abstandsleuchten und Tarnbremsleuchten – versehen sein.</w:t>
      </w:r>
    </w:p>
    <w:p>
      <w:r>
        <w:t xml:space="preserve">(2) Die Tarnleuchten dürfen nur einschaltbar sein, wenn die übrige Fahrzeugbeleuchtung abgeschaltet ist.</w:t>
      </w:r>
    </w:p>
    <w:p>
      <w:r>
        <w:rPr>
          <w:color w:val="555555"/>
          <w:sz w:val="17"/>
        </w:rPr>
        <w:t xml:space="preserve">Zitiervorschlag: § 53c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https://recht.nulegal.eu/gesetze/StVZO%202012/53c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