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53b StVZO 2012 — Ausrüstung und Kenntlichmachung von Anbaugeräten und Hubladebühnen</w:t>
      </w:r>
    </w:p>
    <w:p>
      <w:r>
        <w:rPr>
          <w:color w:val="555555"/>
          <w:sz w:val="18"/>
        </w:rPr>
        <w:t xml:space="preserve">Straßenverkehrs-Zulassungs-Ordnung</w:t>
      </w:r>
    </w:p>
    <w:p>
      <w:r>
        <w:rPr>
          <w:color w:val="555555"/>
          <w:sz w:val="18"/>
        </w:rPr>
        <w:t xml:space="preserve">Stand: 07.07.2021 (konsolidierte Textfassung, kein amtliches Inkrafttretensdatum)</w:t>
      </w:r>
    </w:p>
    <w:p>
      <w:r>
        <w:t xml:space="preserve">(1) Anbaugeräte, die seitlich mehr als 400 mm über den äußersten Punkt der leuchtenden Flächen der Begrenzungs- oder der Schlussleuchten des Fahrzeugs hinausragen, müssen mit Begrenzungsleuchten (§ 51 Absatz 1), Schlussleuchten (§ 53 Absatz 1) und Rückstrahlern (§ 53 Absatz 4) ausgerüstet sein. Die Leuchten müssen so angebracht sein, dass der äußerste Punkt ihrer leuchtenden Fläche nicht mehr als 400 mm von der äußersten Begrenzung des Anbaugeräts und der höchste Punkt der leuchtenden Fläche nicht mehr als 1 500 mm von der Fahrbahn entfernt sind. Der äußerste Punkt der leuchtenden Fläche der Rückstrahler darf nicht mehr als 400 mm von der äußersten Begrenzung des Anbaugeräts, der höchste Punkt der leuchtenden Fläche nicht mehr als 900 mm von der Fahrbahn entfernt sein. Die Leuchten und die Rückstrahler dürfen außerhalb der Zeit, in der Beleuchtung nötig ist (§ 17 Absatz 1 der Straßenverkehrs-Ordnung), abgenommen sein; sie müssen im oder am Fahrzeug mitgeführt werden.</w:t>
      </w:r>
    </w:p>
    <w:p>
      <w:r>
        <w:t xml:space="preserve">(2) Anbaugeräte, deren äußerstes Ende mehr als 1 000 mm über die Schlussleuchten des Fahrzeugs nach hinten hinausragt, müssen mit einer Schlussleuchte (§ 53 Absatz 1) und einem Rückstrahler (§ 53 Absatz 4) ausgerüstet sein. Schlussleuchte und Rückstrahler müssen möglichst am äußersten Ende des Anbaugeräts und möglichst in der Fahrzeuglängsmittelebene angebracht sein. Der höchste Punkt der leuchtenden Fläche der Schlussleuchte darf nicht mehr als 1 500 mm und der des Rückstrahlers nicht mehr als 900 mm von der Fahrbahn entfernt sein. Schlussleuchte und Rückstrahler dürfen außerhalb der Zeit, in der Beleuchtung nötig ist (§ 17 Absatz 1 der Straßenverkehrs-Ordnung), abgenommen sein; sie müssen im oder am Fahrzeug mitgeführt werden.</w:t>
      </w:r>
    </w:p>
    <w:p>
      <w:r>
        <w:t xml:space="preserve">(3) Anbaugeräte nach Absatz 1 müssen ständig nach vorn und hinten, Anbaugeräte nach Absatz 2 müssen ständig nach hinten durch Park-Warntafeln nach § 51c oder durch Folien oder Tafeln nach DIN 11 030, Ausgabe September 1994, kenntlich gemacht werden. Diese Tafeln, deren Streifen nach außen und nach unten verlaufen müssen, brauchen nicht fest am Anbaugerät angebracht zu sein.</w:t>
      </w:r>
    </w:p>
    <w:p>
      <w:r>
        <w:t xml:space="preserve">(4) Ist beim Mitführen von Anbaugeräten eine Beeinträchtigung der Wirkung lichttechnischer Einrichtungen nicht vermeidbar, so müssen während der Dauer der Beeinträchtigung zusätzlich angebrachte lichttechnische Einrichtungen (zum Beispiel auf einem Leuchtenträger nach § 49a Absatz 9 oder 10) gleicher Art ihre Funktion übernehmen.</w:t>
      </w:r>
    </w:p>
    <w:p>
      <w:r>
        <w:t xml:space="preserve">(5) Hubladebühnen und ähnliche Einrichtungen, außer solchen an Kraftomnibussen, müssen während ihres Betriebs durch zwei Blinkleuchten für gelbes Licht mit einer Lichtstärke von nicht weniger als 50 cd und nicht mehr als 500 cd und mit gut sichtbaren rot-weißen Warnmarkierungen kenntlich gemacht werden. Die Blinkleuchten und die Warnmarkierungen müssen – bezogen auf die Arbeitsstellung der Einrichtung – möglichst am hinteren Ende und soweit außen wie möglich angebracht sein. Die Blinkleuchten müssen in Arbeitsstellung der Einrichtung mindestens in den Winkelbereichen nach oben, hinten und zur Seite sichtbar sein, die für hinten an Fahrzeugen angeordnete Fahrtrichtungsanzeiger in § 49a Absatz 1 Satz 4 gefordert werden. Die Blinkleuchten müssen eine flache Abböschung haben. Die Blinkleuchten müssen während des Betriebs der Einrichtung selbsttätig und unabhängig von der übrigen Fahrzeugbeleuchtung Warnblinklicht abstrahlen. Die rot-weißen Warnmarkierungen müssen retroreflektierend sein und brauchen nur nach hinten zu wirken. Bei Fahrzeugen, bei denen fest angebaute Blinkleuchten mit dem Verwendungszweck oder der Bauweise der Hubladebühne unvereinbar sind und bei Fahrzeugen, bei denen eine Nachrüstung mit zumutbarem Aufwand nicht möglich ist, muss mindestens eine tragbare Blinkleuchte als Sicherungseinrichtung von Hubladebühnen oder ähnlichen Einrichtungen mitgeführt, aufgestellt und zweckentsprechend betrieben werden.</w:t>
      </w:r>
    </w:p>
    <w:p>
      <w:r>
        <w:rPr>
          <w:color w:val="555555"/>
          <w:sz w:val="17"/>
        </w:rPr>
        <w:t xml:space="preserve">Zitiervorschlag: § 53b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