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 StVZO 2012 — Scheinwerfer für Fern- und Abblendlicht</w:t>
      </w:r>
    </w:p>
    <w:p>
      <w:r>
        <w:rPr>
          <w:color w:val="555555"/>
          <w:sz w:val="18"/>
        </w:rPr>
        <w:t xml:space="preserve">Straßenverkehrs-Zulassungs-Ordnung</w:t>
      </w:r>
    </w:p>
    <w:p>
      <w:r>
        <w:rPr>
          <w:color w:val="555555"/>
          <w:sz w:val="18"/>
        </w:rPr>
        <w:t xml:space="preserve">Stand: 10.06.2019 (konsolidierte Textfassung, kein amtliches Inkrafttretensdatum)</w:t>
      </w:r>
    </w:p>
    <w:p>
      <w:r>
        <w:t xml:space="preserve">(1) Für die Beleuchtung der Fahrbahn darf nur weißes Licht verwendet werden.</w:t>
      </w:r>
    </w:p>
    <w:p>
      <w:r>
        <w:t xml:space="preserve">(2) Kraftfahrzeuge müssen mit zwei nach vorn wirkenden Scheinwerfern ausgerüstet sein, Krafträder – auch mit Beiwagen – mit einem Scheinwerfer. An mehrspurigen Kraftfahrzeugen, deren Breite 1 000 mm nicht übersteigt, sowie an Krankenfahrstühlen und an Fahrzeugen, die die Baumerkmale von Krankenfahrstühlen haben, deren Geschwindigkeit aber 30 km/h übersteigt, genügt ein Scheinwerfer. Bei Kraftfahrzeugen mit einer durch die Bauart bestimmten Höchstgeschwindigkeit von nicht mehr als 8 km/h genügen Leuchten ohne Scheinwerferwirkung. Für einachsige Zug- oder Arbeitsmaschinen, die von Fußgängern an Holmen geführt werden, gilt § 17 Absatz 5 der Straßenverkehrs-Ordnung. Bei einachsigen Zugmaschinen, hinter denen ein einachsiger Anhänger mitgeführt wird, dürfen die Scheinwerfer statt an der Zugmaschine am Anhänger angebracht sein. Kraftfahrzeuge des Straßendienstes, die von den öffentlichen Verwaltungen oder in deren Auftrag verwendet werden und deren zeitweise vorgebaute Arbeitsgeräte die vorschriftsmäßig angebrachten Scheinwerfer verdecken, dürfen mit zwei zusätzlichen Scheinwerfern für Fern- und Abblendlicht oder zusätzlich mit Scheinwerfern nach Absatz 4 ausgerüstet sein, die höher als 1 000 mm (Absatz 3) über der Fahrbahn angebracht sein dürfen; es darf jeweils nur ein Scheinwerferpaar einschaltbar sein. Die höher angebrachten Scheinwerfer dürfen nur dann eingeschaltet werden, wenn die unteren Scheinwerfer verdeckt sind.</w:t>
      </w:r>
    </w:p>
    <w:p>
      <w:r>
        <w:t xml:space="preserve">(3) Scheinwerfer müssen einstellbar und so befestigt sein, dass sie sich nicht unbeabsichtigt verstellen können. Bei Scheinwerfern für Abblendlicht darf der niedrigste Punkt der Spiegelkante nicht unter 500 mm und der höchste Punkt der leuchtenden Fläche nicht höher als 1 200 mm über der Fahrbahn liegen. Satz 2 gilt nicht für</w:t>
      </w:r>
    </w:p>
    <w:p>
      <w:pPr>
        <w:ind w:left="420"/>
      </w:pPr>
      <w:r>
        <w:t xml:space="preserve">1. Fahrzeuge des Straßendienstes, die von den öffentlichen Verwaltungen oder in deren Auftrag verwendet werden,</w:t>
      </w:r>
    </w:p>
    <w:p>
      <w:pPr>
        <w:ind w:left="420"/>
      </w:pPr>
      <w:r>
        <w:t xml:space="preserve">2. selbstfahrende Arbeitsmaschinen, Stapler und land- oder forstwirtschaftliche Zugmaschinen, deren Bauart eine vorschriftsmäßige Anbringung der Scheinwerfer nicht zulässt. Ist der höchste Punkt der leuchtenden Fläche jedoch höher als 1 500 mm über der Fahrbahn, dann dürfen sie bei eingeschalteten Scheinwerfern nur mit einer Geschwindigkeit von nicht mehr als 30 km/h gefahren werden.</w:t>
      </w:r>
    </w:p>
    <w:p>
      <w:r>
        <w:t xml:space="preserve">(4) Für das Fernlicht und für das Abblendlicht dürfen besondere Scheinwerfer vorhanden sein; sie dürfen so geschaltet sein, dass bei Fernlicht die Abblendscheinwerfer mitbrennen.</w:t>
      </w:r>
    </w:p>
    <w:p>
      <w:r>
        <w:t xml:space="preserve">(5) Die Scheinwerfer müssen bei Dunkelheit die Fahrbahn so beleuchten (Fernlicht), dass die Beleuchtungsstärke in einer Entfernung von 100 m in der Längsachse des Fahrzeugs in Höhe der Scheinwerfermitten mindestens beträgt</w:t>
      </w:r>
    </w:p>
    <w:p>
      <w:pPr>
        <w:ind w:left="420"/>
      </w:pPr>
      <w:r>
        <w:t xml:space="preserve">1. 0,25 lx bei Krafträdern mit einem Hubraum von nicht mehr als 100 cm3,</w:t>
      </w:r>
    </w:p>
    <w:p>
      <w:pPr>
        <w:ind w:left="420"/>
      </w:pPr>
      <w:r>
        <w:t xml:space="preserve">2. 0,50 lx bei Krafträdern mit einem Hubraum über 100 cm3,</w:t>
      </w:r>
    </w:p>
    <w:p>
      <w:pPr>
        <w:ind w:left="420"/>
      </w:pPr>
      <w:r>
        <w:t xml:space="preserve">3. 1,00 lx bei anderen Kraftfahrzeugen.</w:t>
      </w:r>
    </w:p>
    <w:p>
      <w:r>
        <w:t xml:space="preserve">Die Einschaltung des Fernlichts muss durch eine blau leuchtende Lampe im Blickfeld des Fahrzeugführers angezeigt werden; bei Krafträdern und Zugmaschinen mit offenem Führersitz kann die Einschaltung des Fernlichts durch die Stellung des Schalthebels angezeigt werden. Kraftfahrzeuge mit einer durch die Bauart bestimmten Höchstgeschwindigkeit von nicht mehr als 30 km/h brauchen nur mit Scheinwerfern ausgerüstet zu sein, die den Vorschriften des Absatzes 6 Satz 2 und 3 entsprechen.</w:t>
      </w:r>
    </w:p>
    <w:p>
      <w:r>
        <w:t xml:space="preserve">(6) Paarweise verwendete Scheinwerfer für Fern- und Abblendlicht müssen so eingerichtet sein, dass sie nur gleichzeitig und gleichmäßig abgeblendet werden können. Die Blendung gilt als behoben (Abblendlicht), wenn die Beleuchtungsstärke in einer Entfernung von 25 m vor jedem einzelnen Scheinwerfer auf einer Ebene senkrecht zur Fahrbahn in Höhe der Scheinwerfermitte und darüber nicht mehr als 1 lx beträgt. Liegt der höchste Punkt der leuchtenden Fläche der Scheinwerfer (Absatz 3 Satz 2) mehr als 1 200 mm über der Fahrbahn, so darf die Beleuchtungsstärke unter den gleichen Bedingungen oberhalb einer Höhe von 1 000 mm 1 lx nicht übersteigen. Bei Scheinwerfern, deren Anbringungshöhe 1 400 mm übersteigt, darf die Hell-Dunkel-Grenze 15 m vor dem Scheinwerfer nur halb so hoch liegen wie die Scheinwerfermitte. Bei Scheinwerfern für asymmetrisches Abblendlicht darf die 1-Lux-Grenze von dem der Scheinwerfermitte entsprechenden Punkt unter einem Winkel von 15 Grad nach rechts ansteigen, sofern nicht in internationalen Vereinbarungen oder Rechtsakten nach § 21a etwas anderes bestimmt ist. Die Scheinwerfer müssen die Fahrbahn so beleuchten, dass die Beleuchtungsstärke in einer Entfernung von 25 m vor den Scheinwerfern senkrecht zum auffallenden Licht in 150 mm Höhe über der Fahrbahn mindestens die in Absatz 5 angegebenen Werte erreicht.</w:t>
      </w:r>
    </w:p>
    <w:p>
      <w:r>
        <w:t xml:space="preserve">(6a) Die Absätze 2 bis 6 gelten nicht für Mofas. Diese Fahrzeuge müssen mit einem Scheinwerfer für Dauerabblendlicht ausgerüstet sein, dessen Beleuchtungsstärke in einer Entfernung von 25 m vor dem Scheinwerfer auf einer Ebene senkrecht zur Fahrbahn in Höhe der Scheinwerfermitte und darüber nicht mehr als 1 lx beträgt. Der Scheinwerfer muss am Fahrzeug einstellbar und so befestigt sein, dass er sich nicht unbeabsichtigt verstellen kann. Die Nennleistung der Glühlampe im Scheinwerfer muss 15 W betragen. Die Sätze 1 bis 3 gelten auch für Kleinkrafträder und andere Fahrräder mit Hilfsmotor, wenn eine ausreichende elektrische Energieversorgung der Beleuchtungs- und Lichtsignaleinrichtungen nur bei Verwendung von Scheinwerfern für Dauerabblendlicht nach den Sätzen 2 und 4 sichergestellt ist.</w:t>
      </w:r>
    </w:p>
    <w:p>
      <w:r>
        <w:t xml:space="preserve">(7) Die Beleuchtungsstärke ist bei stehendem Motor, vollgeladener Batterie und bei richtig eingestellten Scheinwerfern zu messen.</w:t>
      </w:r>
    </w:p>
    <w:p>
      <w:r>
        <w:t xml:space="preserve">(8) Mehrspurige Kraftfahrzeuge, ausgenommen land- oder forstwirtschaftliche Zugmaschinen, Arbeitsmaschinen und Stapler, müssen so beschaffen sein, dass die Ausrichtung des Abblendlichtbündels von Scheinwerfern, die nicht höher als 1 200 mm über der Fahrbahn (Absatz 3) angebracht sind, den im Anhang zu dieser Vorschrift genannten Bestimmungen entspricht.</w:t>
      </w:r>
    </w:p>
    <w:p>
      <w:r>
        <w:t xml:space="preserve">(9) Scheinwerfer für Fernlicht dürfen nur gleichzeitig oder paarweise einschaltbar sein; beim Abblenden müssen alle gleichzeitig erlöschen.</w:t>
      </w:r>
    </w:p>
    <w:p>
      <w:r>
        <w:t xml:space="preserve">(10) Kraftfahrzeuge mit Scheinwerfern für Fern- und Abblendlicht, die mit Gasentladungslampen ausgestattet sind, müssen mit</w:t>
      </w:r>
    </w:p>
    <w:p>
      <w:pPr>
        <w:ind w:left="420"/>
      </w:pPr>
      <w:r>
        <w:t xml:space="preserve">1. einer automatischen Leuchtweiteregelung im Sinne des Absatzes 8,</w:t>
      </w:r>
    </w:p>
    <w:p>
      <w:pPr>
        <w:ind w:left="420"/>
      </w:pPr>
      <w:r>
        <w:t xml:space="preserve">2. einer Scheinwerferreinigungsanlage und</w:t>
      </w:r>
    </w:p>
    <w:p>
      <w:pPr>
        <w:ind w:left="420"/>
      </w:pPr>
      <w:r>
        <w:t xml:space="preserve">3. einem System, das das ständige Eingeschaltetsein des Abblendlichtes auch bei Fernlicht sicherstellt,</w:t>
      </w:r>
    </w:p>
    <w:p>
      <w:r>
        <w:t xml:space="preserve">ausgerüstet sein.</w:t>
      </w:r>
    </w:p>
    <w:p>
      <w:r>
        <w:rPr>
          <w:color w:val="555555"/>
          <w:sz w:val="17"/>
        </w:rPr>
        <w:t xml:space="preserve">Zitiervorschlag: § 50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https://recht.nulegal.eu/gesetze/StVZO%202012/50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