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47f StVZO 2012 — Kraftstoffe, emissionsbedeutsame Betriebsstoffe und Systeme zur Verringerung der Stickoxid-Emissionen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Ein Kraftfahrzeug darf nur mit den vom Hersteller in der Betriebsanleitung oder in anderen für den Fahrzeughalter bestimmten Unterlagen angegebenen Qualitäten von flüssigen, gasförmigen oder festen Kraftstoffen betrieben werden. Abweichend von Satz 1 darf ein Kraftfahrzeug mit anderen Qualitäten von flüssigen, gasförmigen oder festen Kraftstoffen nur betrieben werden, sofern die Einhaltung der Anforderungen des § 38 Absatz 1 des Bundes-Immissionsschutzgesetzes an das Fahrzeug sichergestellt ist.</w:t>
      </w:r>
    </w:p>
    <w:p>
      <w:r>
        <w:t xml:space="preserve">(2) Absatz 1 gilt auch für ergänzende Betriebsstoffe, die zur Einhaltung von Emissionsvorschriften erforderlich sind. Die Manipulation eines Systems zur Verringerung der Stickoxid-Emissionen und der Betrieb eines Kraftfahrzeugs und seiner Komponenten ohne ein sich verbrauchendes Reagens oder mit einem ungeeigneten sich verbrauchenden Reagens ist verboten, sofern das Fahrzeug über ein Emissionsminderungssystem verfügt, das die Nutzung eines sich verbrauchenden Reagens erfordert.</w:t>
      </w:r>
    </w:p>
    <w:p>
      <w:r>
        <w:rPr>
          <w:color w:val="555555"/>
          <w:sz w:val="17"/>
        </w:rPr>
        <w:t xml:space="preserve">Zitiervorschlag: § 47f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