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StVZO 2012 — Stützeinrichtung und Stützlast</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An Sattelanhängern muss eine Stützeinrichtung vorhanden sein oder angebracht werden können. Wenn Sattelanhänger so ausgerüstet sind, dass die Verbindung der Kupplungsteile sowie der elektrischen Anschlüsse und der Bremsanschlüsse selbsttätig erfolgen kann, müssen die Anhänger eine Stützeinrichtung haben, die sich nach dem Ankuppeln des Anhängers selbsttätig vom Boden abhebt.</w:t>
      </w:r>
    </w:p>
    <w:p>
      <w:r>
        <w:t xml:space="preserve">(2) Starrdeichselanhänger (einschließlich Zentralachsanhänger) müssen eine der Höhe nach einstellbare Stützeinrichtung haben, wenn die Stützlast bei gleichmäßiger Lastverteilung mehr als 50 kg beträgt. Dies gilt jedoch nicht für Starrdeichselanhänger hinter Kraftfahrzeugen mit einem zum Anheben der Deichsel geeigneten Kraftheber. Stützeinrichtungen müssen unverlierbar untergebracht sein.</w:t>
      </w:r>
    </w:p>
    <w:p>
      <w:r>
        <w:t xml:space="preserve">(3) Bei Starrdeichselanhängern (einschließlich Zentralachsanhängern) mit einem zulässigen Gesamtgewicht von nicht mehr als 3,5 t darf die vom ziehenden Fahrzeug aufzunehmende Mindeststützlast nicht weniger als 4 Prozent des tatsächlichen Gesamtgewichts des Anhängers betragen; sie braucht jedoch nicht mehr als 25 kg zu betragen. Die technisch zulässige Stützlast des Zugfahrzeugs ist vom Hersteller festzulegen; sie darf – ausgenommen bei Krafträdern – nicht geringer als 25 kg sein. Bei Starrdeichselanhängern (einschließlich Zentralachsanhängern) mit einem zulässigen Gesamtgewicht von mehr als 3,5 t darf die vom ziehenden Fahrzeug aufzunehmende Mindeststützlast nicht weniger als 4 Prozent des tatsächlichen Gesamtgewichts des Anhängers betragen, sie braucht jedoch nicht mehr als 500 kg zu betragen. Die maximal zulässige Stützlast darf bei diesen Anhängern – ausgenommen bei Starrdeichselanhängern (einschließlich Zentralachsanhängern), die für eine Höchstgeschwindigkeit von nicht mehr als 40 km/h gekennzeichnet sind (§ 58) und land- oder forstwirtschaftlichen Arbeitsgeräten – höchstens 15 Prozent des tatsächlichen Gesamtgewichts des Starrdeichselanhängers (einschließlich Zentralachsanhängers), aber nicht mehr als 2,00 t betragen. Bei allen Starrdeichselanhängern (einschließlich Zentralachsanhängern) darf weder die für die Anhängekupplung oder die Zugeinrichtung noch die vom Hersteller des ziehenden Fahrzeugs angegebene Stützlast überschritten werden.</w:t>
      </w:r>
    </w:p>
    <w:p>
      <w:r>
        <w:rPr>
          <w:color w:val="555555"/>
          <w:sz w:val="17"/>
        </w:rPr>
        <w:t xml:space="preserve">Zitiervorschlag: § 44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