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StVZO 2012 — Einrichtungen zur Verbindung von Fahrzeugen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Einrichtungen zur Verbindung von Fahrzeugen müssen so ausgebildet und befestigt sein, dass die nach dem Stand der Technik erreichbare Sicherheit – auch bei der Bedienung der Kupplung – gewährleistet ist. Die Zuggabel von Mehrachsanhängern muss bodenfrei sein. Die Zugöse dieser Anhänger muss jeweils in Höhe des Kupplungsmauls einstellbar sein; dies gilt bei anderen Kupplungsarten sinngemäß. Die Sätze 2 und 3 gelten nicht für Anhänger hinter Elektrokarren mit einer durch die Bauart bestimmten Höchstgeschwindigkeit von nicht mehr als 25 km/h, wenn das zulässige Gesamtgewicht des Anhängers nicht mehr als 2 t beträgt.</w:t>
      </w:r>
    </w:p>
    <w:p>
      <w:r>
        <w:t xml:space="preserve">(2) Mehrspurige Kraftfahrzeuge mit mehr als einer Achse müssen vorn, Personenkraftwagen – ausgenommen solche, für die nach der Betriebserlaubnis eine Anhängelast nicht zulässig ist – auch hinten, eine ausreichend bemessene und leicht zugängliche Einrichtung zum Befestigen einer Abschleppstange oder eines Abschleppseils haben. An selbstfahrenden Arbeitsmaschinen und Staplern darf diese Einrichtung hinten angeordnet sein.</w:t>
      </w:r>
    </w:p>
    <w:p>
      <w:r>
        <w:t xml:space="preserve">(3) Bei Verwendung von Abschleppstangen oder Abschleppseilen darf der lichte Abstand vom ziehenden zum gezogenen Fahrzeug nicht mehr als 5 m betragen. Abschleppstangen und Abschleppseile sind ausreichend erkennbar zu machen, zum Beispiel durch einen roten Lappen.</w:t>
      </w:r>
    </w:p>
    <w:p>
      <w:r>
        <w:t xml:space="preserve">(4) Anhängekupplungen müssen selbsttätig wirken. Nicht selbsttätige Anhängekupplungen sind jedoch zulässig,</w:t>
      </w:r>
    </w:p>
    <w:p>
      <w:pPr>
        <w:ind w:left="420"/>
      </w:pPr>
      <w:r>
        <w:t xml:space="preserve">1. an Zugmaschinen und an selbstfahrenden Arbeitsmaschinen und Staplern, wenn der Führer den Kupplungsvorgang von seinem Sitz aus beobachten kann,</w:t>
      </w:r>
    </w:p>
    <w:p>
      <w:pPr>
        <w:ind w:left="420"/>
      </w:pPr>
      <w:r>
        <w:t xml:space="preserve">2. an Krafträdern und Personenkraftwagen,</w:t>
      </w:r>
    </w:p>
    <w:p>
      <w:pPr>
        <w:ind w:left="420"/>
      </w:pPr>
      <w:r>
        <w:t xml:space="preserve">3. an Anhängern hinter Zugmaschinen in land- oder forstwirtschaftlichen Betrieben,</w:t>
      </w:r>
    </w:p>
    <w:p>
      <w:pPr>
        <w:ind w:left="420"/>
      </w:pPr>
      <w:r>
        <w:t xml:space="preserve">4. zur Verbindung von anderen Kraftfahrzeugen mit einachsigen Anhängern oder zweiachsigen Anhängern mit einem Achsabstand von weniger als 1,0 m mit einem zulässigen Gesamtgewicht von nicht mehr als 3,5 t.</w:t>
      </w:r>
    </w:p>
    <w:p>
      <w:r>
        <w:t xml:space="preserve">In jedem Fall muss die Herstellung einer betriebssicheren Verbindung leicht und gefahrlos möglich sein.</w:t>
      </w:r>
    </w:p>
    <w:p>
      <w:r>
        <w:t xml:space="preserve">(5) Einrichtungen zur Verbindung von Fahrzeugen an zweirädrigen oder dreirädrigen Kraftfahrzeugen nach § 30a Absatz 3 und ihre Anbringung an diesen Kraftfahrzeugen müssen den im Anhang zu dieser Vorschrift genannten Bestimmungen entsprechen.</w:t>
      </w:r>
    </w:p>
    <w:p>
      <w:r>
        <w:rPr>
          <w:color w:val="555555"/>
          <w:sz w:val="17"/>
        </w:rPr>
        <w:t xml:space="preserve">Zitiervorschlag: § 43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