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StVZO 2012 — Anhängelast hinter Kraftfahrzeugen und Leergewicht</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Die gezogene Anhängelast darf bei</w:t>
      </w:r>
    </w:p>
    <w:p>
      <w:pPr>
        <w:ind w:left="420"/>
      </w:pPr>
      <w:r>
        <w:t xml:space="preserve">1. Personenkraftwagen, ausgenommen solcher nach Nummer 2, und Lastkraftwagen, ausgenommen solcher nach Nummer 3, weder das zulässige Gesamtgewicht,</w:t>
      </w:r>
    </w:p>
    <w:p>
      <w:pPr>
        <w:ind w:left="420"/>
      </w:pPr>
      <w:r>
        <w:t xml:space="preserve">2. Personenkraftwagen, die gemäß der Definition in Anhang II der Richtlinie 70/156/EWG Geländefahrzeuge sind, weder das 1,5fache des zulässigen Gesamtgewichts,</w:t>
      </w:r>
    </w:p>
    <w:p>
      <w:pPr>
        <w:ind w:left="420"/>
      </w:pPr>
      <w:r>
        <w:t xml:space="preserve">3. Lastkraftwagen in Zügen mit durchgehender Bremsanlage weder das 1,5fache des zulässigen Gesamtgewichts</w:t>
      </w:r>
    </w:p>
    <w:p>
      <w:r>
        <w:t xml:space="preserve">des ziehenden Fahrzeugs noch den etwa vom Hersteller des ziehenden Fahrzeugs angegebenen oder amtlich als zulässig erklärten Wert übersteigen. Bei Personenkraftwagen nach Nummer 1 oder 2 darf das tatsächliche Gesamtgewicht des Anhängers (Achslast zuzüglich Stützlast) jedoch in keinem Fall mehr als 3 500 kg betragen. Die Anhängelast bei Kraftfahrzeugen nach § 30a Absatz 3 und bei motorisierten Krankenfahrstühlen darf höchstens 50 Prozent der Leermasse des Fahrzeugs betragen.</w:t>
      </w:r>
    </w:p>
    <w:p>
      <w:r>
        <w:t xml:space="preserve">(2) Hinter Krafträdern und Personenkraftwagen dürfen Anhänger ohne ausreichende eigene Bremse nur mitgeführt werden, wenn das ziehende Fahrzeug Allradbremse und der Anhänger nur eine Achse hat; Krafträder gelten trotz getrennter Bedienungseinrichtungen für die Vorderrad- und Hinterradbremse als Fahrzeuge mit Allradbremse, Krafträder mit Beiwagen jedoch nur dann, wenn auch das Beiwagenrad eine Bremse hat. Werden einachsige Anhänger ohne bauartbedingt ausreichende eigene Bremse mitgeführt, so darf die Anhängelast höchstens die Hälfte des um 75 kg erhöhten Leergewichts des ziehenden Fahrzeugs, aber nicht mehr als 750 kg betragen.</w:t>
      </w:r>
    </w:p>
    <w:p>
      <w:r>
        <w:t xml:space="preserve">(2a) Die Absätze 1 und 2 gelten nicht für das Abschleppen von betriebsunfähigen Fahrzeugen.</w:t>
      </w:r>
    </w:p>
    <w:p>
      <w:r>
        <w:t xml:space="preserve">(3) Das Leergewicht ist das Gewicht des betriebsfertigen Fahrzeugs ohne austauschbare Ladungsträger (Behälter, die dazu bestimmt und geeignet sind, Ladungen aufzunehmen und auf oder an verschiedenen Trägerfahrzeugen verwendet zu werden, wie Container, Wechselbehälter), aber mit zu 90 Prozent gefüllten eingebauten Kraftstoffbehältern und zu 100 Prozent gefüllten Systemen für andere Flüssigkeiten (ausgenommen Systeme für gebrauchtes Wasser) einschließlich des Gewichts aller im Betrieb mitgeführten Ausrüstungsteile (zum Beispiel Ersatzräder und -bereifung, Ersatzteile, Werkzeug, Wagenheber, Feuerlöscher, Aufsteckwände, Planengestell mit Planenbügeln und Planenlatten oder Planenstangen, Plane, Gleitschutzeinrichtungen, Belastungsgewichte), bei anderen Kraftfahrzeugen als Kraftfahrzeugen nach § 30a Absatz 3 zuzüglich 75 kg als Fahrergewicht. Austauschbare Ladungsträger, die Fahrzeuge miteinander verbinden oder Zugkräfte übertragen, sind Fahrzeugteile.</w:t>
      </w:r>
    </w:p>
    <w:p>
      <w:r>
        <w:rPr>
          <w:color w:val="555555"/>
          <w:sz w:val="17"/>
        </w:rPr>
        <w:t xml:space="preserve">Zitiervorschlag: § 42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https://recht.nulegal.eu/gesetze/StVZO%202012/42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