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StVZO 2012 — Betätigungseinrichtungen, Kontrollleuchten und Anzeiger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Personenkraftwagen und Kraftomnibussen sowie Lastkraftwagen, Zugmaschinen und Sattelzugmaschinen – ausgenommen land- oder forstwirtschaftliche Zugmaschinen – eingebauten Betätigungseinrichtungen, Kontrollleuchten und Anzeiger müssen eine Kennzeichnung haben, die den im Anhang zu dieser Vorschrift genannten Bestimmungen entspricht.</w:t>
      </w:r>
    </w:p>
    <w:p>
      <w:r>
        <w:t xml:space="preserve">(2) Die in Kraftfahrzeuge nach § 30a Absatz 3 eingebauten Betätigungseinrichtungen, Kontrollleuchten und Anzeiger müssen eine Kennzeichnung haben, die den im Anhang zu dieser Vorschrift genannten Bestimmungen entspricht.</w:t>
      </w:r>
    </w:p>
    <w:p>
      <w:r>
        <w:t xml:space="preserve">(3) Land- oder forstwirtschaftliche Zugmaschinen müssen Betätigungseinrichtungen haben, deren Einbau, Position, Funktionsweise und Kennzeichnung den im Anhang zu dieser Vorschrift genannten Bestimmungen entspricht.</w:t>
      </w:r>
    </w:p>
    <w:p>
      <w:r>
        <w:rPr>
          <w:color w:val="555555"/>
          <w:sz w:val="17"/>
        </w:rPr>
        <w:t xml:space="preserve">Zitiervorschlag: § 39a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