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36a StVZO 2012 — Radabdeckungen, Ersatzräder</w:t>
      </w:r>
    </w:p>
    <w:p>
      <w:r>
        <w:rPr>
          <w:color w:val="555555"/>
          <w:sz w:val="18"/>
        </w:rPr>
        <w:t xml:space="preserve">Straßenverkehrs-Zulassungs-Ordnung</w:t>
      </w:r>
    </w:p>
    <w:p>
      <w:r>
        <w:rPr>
          <w:color w:val="555555"/>
          <w:sz w:val="18"/>
        </w:rPr>
        <w:t xml:space="preserve">Stand: 01.09.2023 (konsolidierte Textfassung, kein amtliches Inkrafttretensdatum)</w:t>
      </w:r>
    </w:p>
    <w:p>
      <w:r>
        <w:t xml:space="preserve">(1) Die Räder von Kraftfahrzeugen und ihren Anhängern müssen mit hinreichend wirkenden Abdeckungen (Kotflügel, Schmutzfänger oder Radeinbauten) versehen sein.</w:t>
      </w:r>
    </w:p>
    <w:p>
      <w:r>
        <w:t xml:space="preserve">(2) Absatz 1 gilt nicht für</w:t>
      </w:r>
    </w:p>
    <w:p>
      <w:pPr>
        <w:ind w:left="420"/>
      </w:pPr>
      <w:r>
        <w:t xml:space="preserve">1. Kraftfahrzeuge mit einer durch die Bauart bestimmten Höchstgeschwindigkeit von nicht mehr als 25 km/h,</w:t>
      </w:r>
    </w:p>
    <w:p>
      <w:pPr>
        <w:ind w:left="420"/>
      </w:pPr>
      <w:r>
        <w:t xml:space="preserve">2. die Hinterräder von Sattelzugmaschinen, wenn ein Sattelanhänger mitgeführt wird, dessen Aufbau die Räder überdeckt und die Anbringung einer vollen Radabdeckung nicht zulässt; in diesem Falle genügen Abdeckungen vor und hinter dem Rad, die bis zur Höhe der Radoberkante reichen,</w:t>
      </w:r>
    </w:p>
    <w:p>
      <w:pPr>
        <w:ind w:left="420"/>
      </w:pPr>
      <w:r>
        <w:t xml:space="preserve">3. eisenbereifte Fahrzeuge,</w:t>
      </w:r>
    </w:p>
    <w:p>
      <w:pPr>
        <w:ind w:left="420"/>
      </w:pPr>
      <w:r>
        <w:t xml:space="preserve">4. Anhänger zur Beförderung von Eisenbahnwagen auf der Straße (Straßenroller),</w:t>
      </w:r>
    </w:p>
    <w:p>
      <w:pPr>
        <w:ind w:left="420"/>
      </w:pPr>
      <w:r>
        <w:t xml:space="preserve">5. Anhänger, die in der durch § 58 vorgeschriebenen Weise für eine Höchstgeschwindigkeit von nicht mehr als 25 km/h gekennzeichnet sind,</w:t>
      </w:r>
    </w:p>
    <w:p>
      <w:pPr>
        <w:ind w:left="420"/>
      </w:pPr>
      <w:r>
        <w:t xml:space="preserve">6. land- oder forstwirtschaftliche Arbeitsgeräte,</w:t>
      </w:r>
    </w:p>
    <w:p>
      <w:pPr>
        <w:ind w:left="420"/>
      </w:pPr>
      <w:r>
        <w:t xml:space="preserve">7. die hinter land- oder forstwirtschaftlichen einachsigen Zug- oder Arbeitsmaschinen mitgeführten Sitzkarren,</w:t>
      </w:r>
    </w:p>
    <w:p>
      <w:pPr>
        <w:ind w:left="420"/>
      </w:pPr>
      <w:r>
        <w:t xml:space="preserve">8. die Vorderräder von mehrachsigen Anhängern für die Beförderung von Langholz.</w:t>
      </w:r>
    </w:p>
    <w:p>
      <w:r>
        <w:t xml:space="preserve">(3) Für außen an Fahrzeugen mitgeführte Ersatzräder müssen Halterungen vorhanden sein, die die Ersatzräder sicher aufnehmen und allen betriebsüblichen Beanspruchungen standhalten können. Die Ersatzräder müssen gegen Verlieren durch zwei voneinander unabhängige Einrichtungen gesichert sein. Die Einrichtungen müssen so beschaffen sein, dass eine von ihnen wirksam bleibt, wenn die andere – insbesondere durch Bruch, Versagen oder Bedienungsfehler – ausfällt.</w:t>
      </w:r>
    </w:p>
    <w:p>
      <w:r>
        <w:rPr>
          <w:color w:val="555555"/>
          <w:sz w:val="17"/>
        </w:rPr>
        <w:t xml:space="preserve">Zitiervorschlag: § 36a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