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35i StVZO 2012 — Gänge, Anordnung von Fahrgastsitzen und Beförderung von Fahrgästen in Kraftomnibussen</w:t>
      </w:r>
    </w:p>
    <w:p>
      <w:r>
        <w:rPr>
          <w:color w:val="555555"/>
          <w:sz w:val="18"/>
        </w:rPr>
        <w:t xml:space="preserve">Straßenverkehrs-Zulassungs-Ordnung</w:t>
      </w:r>
    </w:p>
    <w:p>
      <w:r>
        <w:rPr>
          <w:color w:val="555555"/>
          <w:sz w:val="18"/>
        </w:rPr>
        <w:t xml:space="preserve">Stand: 10.06.2019 (konsolidierte Textfassung, kein amtliches Inkrafttretensdatum)</w:t>
      </w:r>
    </w:p>
    <w:p>
      <w:r>
        <w:t xml:space="preserve">(1) In Kraftomnibussen müssen die Fahrgastsitze so angeordnet sein, dass der Gang in Längsrichtung frei bleibt. Im Übrigen müssen die Anordnung der Fahrgastsitze und ihre Mindestabmessungen sowie die Mindestabmessungen der für Fahrgäste zugänglichen Bereiche der Anlage X entsprechen.</w:t>
      </w:r>
    </w:p>
    <w:p>
      <w:r>
        <w:t xml:space="preserve">(2) In Kraftomnibussen dürfen Fahrgäste nicht liegend befördert werden. Dies gilt nicht für Kinder in Kinderwagen.</w:t>
      </w:r>
    </w:p>
    <w:p>
      <w:r>
        <w:rPr>
          <w:color w:val="555555"/>
          <w:sz w:val="17"/>
        </w:rPr>
        <w:t xml:space="preserve">Zitiervorschlag: § 35i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https://recht.nulegal.eu/gesetze/StVZO%202012/35i</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