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35d StVZO 2012 — Einrichtungen zum Auf- und Absteigen an Fahrzeugen und Betätigungsraum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07.07.2021 (konsolidierte Textfassung, kein amtliches Inkrafttretensdatum)</w:t>
      </w:r>
    </w:p>
    <w:p>
      <w:r>
        <w:t xml:space="preserve">(1) Die Beschaffenheit der Fahrzeuge muss sicheres Auf- und Absteigen ermöglichen.</w:t>
      </w:r>
    </w:p>
    <w:p>
      <w:r>
        <w:t xml:space="preserve">(2) Der Betätigungsraum und der Zugang zum Fahrerplatz bei land- oder forstwirtschaftlichen Zugmaschinen muss den im Anhang zu dieser Vorschrift genannten Bestimmungen entsprechen.</w:t>
      </w:r>
    </w:p>
    <w:p>
      <w:r>
        <w:rPr>
          <w:color w:val="555555"/>
          <w:sz w:val="17"/>
        </w:rPr>
        <w:t xml:space="preserve">Zitiervorschlag: § 35d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https://recht.nulegal.eu/gesetze/StVZO%202012/35d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