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35c StVZO 2012 — Heizung und Lüftung</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Geschlossene Führerräume in Kraftfahrzeugen mit einer durch die Bauart bestimmten Höchstgeschwindigkeit von mehr als 25 km/h müssen ausreichend beheizt und belüftet werden können.</w:t>
      </w:r>
    </w:p>
    <w:p>
      <w:r>
        <w:t xml:space="preserve">(2) Für Heizanlagen in Fahrzeugen der Klassen M, N und O und ihren Einbau gelten die im Anhang zu dieser Vorschrift genannten Bestimmungen.</w:t>
      </w:r>
    </w:p>
    <w:p>
      <w:r>
        <w:t xml:space="preserve">(3) Während der Fahrt dürfen mit Flüssiggas (LPG) betriebene Heizanlagen in Kraftfahrzeugen und Anhängern, deren Verbrennungsheizgeräte und Gasversorgungssysteme ausschließlich für den Betrieb bei stillstehendem Fahrzeug bestimmt sind, nicht in Betrieb sein und die Ventile der Flüssiggasflaschen müssen geschlossen sein.</w:t>
      </w:r>
    </w:p>
    <w:p>
      <w:r>
        <w:rPr>
          <w:color w:val="555555"/>
          <w:sz w:val="17"/>
        </w:rPr>
        <w:t xml:space="preserve">Zitiervorschlag: § 35c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https://recht.nulegal.eu/gesetze/StVZO%202012/35c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