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34b StVZO 2012 — Laufrollenlast und Gesamtgewicht von Gleiskettenfahrzeugen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Bei Fahrzeugen, die ganz oder teilweise auf endlosen Ketten oder Bändern laufen (Gleiskettenfahrzeuge), darf die Last einer Laufrolle auf ebener Fahrbahn 2,00 t nicht übersteigen. Gefederte Laufrollen müssen bei Fahrzeugen mit einem Gesamtgewicht von mehr als 8 t so angebracht sein, dass die Last einer um 60 mm angehobenen Laufrolle bei stehendem Fahrzeug nicht mehr als doppelt so groß ist wie die auf ebener Fahrbahn zulässige Laufrollenlast. Bei Fahrzeugen mit ungefederten Laufrollen und Gleisketten, die außen vollständig aus Gummiband bestehen, darf der Druck der Auflagefläche der Gleiskette auf die ebene Fahrbahn 0,8 N/mm2 nicht übersteigen. Als Auflagefläche gilt nur derjenige Teil einer Gleiskette, der tatsächlich auf einer ebenen Fahrbahn aufliegt. Die Laufrollen von Gleiskettenfahrzeugen können sowohl einzeln als auch über das gesamte Laufwerk abgefedert werden. Das Gesamtgewicht von Gleiskettenfahrzeugen darf 32,00 t nicht übersteigen.</w:t>
      </w:r>
    </w:p>
    <w:p>
      <w:r>
        <w:t xml:space="preserve">(2) Gleiskettenfahrzeuge dürfen die Fahrbahn zwischen der ersten und letzten Laufrolle höchstens mit 9,00 t je Meter belasten.</w:t>
      </w:r>
    </w:p>
    <w:p>
      <w:r>
        <w:rPr>
          <w:color w:val="555555"/>
          <w:sz w:val="17"/>
        </w:rPr>
        <w:t xml:space="preserve">Zitiervorschlag: § 34b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