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StVZO 2012 — Besetzung, Beladung und Kennzeichnung von Kraftomnibussen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Kraftomnibussen dürfen nicht mehr Personen und Gepäck befördert werden, als in der Zulassungsbescheinigung Teil I Sitz- und Stehplätze eingetragen sind und die jeweilige Summe der im Fahrzeug angeschriebenen Fahrgastplätze sowie die Angaben für die Höchstmasse des Gepäcks ausweisen.</w:t>
      </w:r>
    </w:p>
    <w:p>
      <w:r>
        <w:t xml:space="preserve">(2) Auf Antrag des Verfügungsberechtigten oder auf Grund anderer Vorschriften können abweichend von den nach Absatz 1 jeweils zulässigen Platzzahlen auf die Einsatzart der Kraftomnibusse abgestimmte verminderte Platzzahlen festgelegt werden. Die verminderten Platzzahlen sind in der Zulassungsbescheinigung Teil I einzutragen und im Fahrzeug an gut sichtbarer Stelle in gut sichtbarer Schrift anzuschreiben.</w:t>
      </w:r>
    </w:p>
    <w:p>
      <w:r>
        <w:rPr>
          <w:color w:val="555555"/>
          <w:sz w:val="17"/>
        </w:rPr>
        <w:t xml:space="preserve">Zitiervorschlag: § 34a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