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32b StVZO 2012 — Unterfahrschutz</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Kraftfahrzeuge, Anhänger und Fahrzeuge mit austauschbaren Ladungsträgern mit einer durch die Bauart bestimmten Höchstgeschwindigkeit von mehr als 25 km/h, bei denen der Abstand von der hinteren Begrenzung bis zur letzten Hinterachse mehr als 1 000 mm beträgt und bei denen in unbeladenem Zustand entweder das hintere Fahrgestell in seiner ganzen Breite oder die Hauptteile der Karosserie eine lichte Höhe von mehr als 550 mm über der Fahrbahn haben, müssen mit einem hinteren Unterfahrschutz ausgerüstet sein.</w:t>
      </w:r>
    </w:p>
    <w:p>
      <w:r>
        <w:t xml:space="preserve">(2) Der hintere Unterfahrschutz muss der Richtlinie 70/221/EWG des Rates vom 20. März 1970 zur Angleichung der Rechtsvorschriften der Mitgliedstaaten über die Behälter für flüssigen Kraftstoff und den Unterfahrschutz von Kraftfahrzeugen und Kraftfahrzeuganhängern (ABl. L 76 vom 6.4.1970, S. 23), die zuletzt durch die Richtlinie 2006/96/EG (ABl. L 363 vom 20.12.2006, S. 81) geändert worden ist, in der nach § 30 Absatz 4 Satz 3 jeweils anzuwendenden Fassung entsprechen.</w:t>
      </w:r>
    </w:p>
    <w:p>
      <w:r>
        <w:t xml:space="preserve">(3) Die Absätze 1 und 2 gelten nicht für</w:t>
      </w:r>
    </w:p>
    <w:p>
      <w:pPr>
        <w:ind w:left="420"/>
      </w:pPr>
      <w:r>
        <w:t xml:space="preserve">1. land- oder forstwirtschaftliche Zugmaschinen,</w:t>
      </w:r>
    </w:p>
    <w:p>
      <w:pPr>
        <w:ind w:left="420"/>
      </w:pPr>
      <w:r>
        <w:t xml:space="preserve">2. Arbeitsmaschinen und Stapler,</w:t>
      </w:r>
    </w:p>
    <w:p>
      <w:pPr>
        <w:ind w:left="420"/>
      </w:pPr>
      <w:r>
        <w:t xml:space="preserve">3. Sattelzugmaschinen,</w:t>
      </w:r>
    </w:p>
    <w:p>
      <w:pPr>
        <w:ind w:left="420"/>
      </w:pPr>
      <w:r>
        <w:t xml:space="preserve">4. zweirädrige Anhänger, die zum Transport von Langmaterial bestimmt sind,</w:t>
      </w:r>
    </w:p>
    <w:p>
      <w:pPr>
        <w:ind w:left="420"/>
      </w:pPr>
      <w:r>
        <w:t xml:space="preserve">5. Fahrzeuge, bei denen das Vorhandensein eines hinteren Unterfahrschutzes mit dem Verwendungszweck des Fahrzeugs unvereinbar ist.</w:t>
      </w:r>
    </w:p>
    <w:p>
      <w:r>
        <w:t xml:space="preserve">(4) Kraftfahrzeuge zur Güterbeförderung mit mindestens vier Rädern und mit einer durch die Bauart bestimmten Höchstgeschwindigkeit von mehr als 25 km/h und einer zulässigen Gesamtmasse von mehr als 3,5 t müssen mit einem vorderen Unterfahrschutz ausgerüstet sein, der den im Anhang zu dieser Vorschrift genannten Bestimmungen entspricht.</w:t>
      </w:r>
    </w:p>
    <w:p>
      <w:r>
        <w:t xml:space="preserve">(5) Absatz 4 gilt nicht für</w:t>
      </w:r>
    </w:p>
    <w:p>
      <w:pPr>
        <w:ind w:left="420"/>
      </w:pPr>
      <w:r>
        <w:t xml:space="preserve">1. Geländefahrzeuge,</w:t>
      </w:r>
    </w:p>
    <w:p>
      <w:pPr>
        <w:ind w:left="420"/>
      </w:pPr>
      <w:r>
        <w:t xml:space="preserve">2. Fahrzeuge, deren Verwendungszweck mit den Bestimmungen für den vorderen Unterfahrschutz nicht vereinbar ist.</w:t>
      </w:r>
    </w:p>
    <w:p>
      <w:r>
        <w:rPr>
          <w:color w:val="555555"/>
          <w:sz w:val="17"/>
        </w:rPr>
        <w:t xml:space="preserve">Zitiervorschlag: § 32b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